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4E" w:rsidRPr="00F00FFC" w:rsidRDefault="00246B4E" w:rsidP="00246B4E">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246B4E" w:rsidRPr="00F00FFC" w:rsidRDefault="00246B4E" w:rsidP="00246B4E">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Općine </w:t>
      </w:r>
      <w:r>
        <w:rPr>
          <w:rFonts w:ascii="Calibri" w:eastAsia="Calibri" w:hAnsi="Calibri" w:cs="Arial"/>
          <w:b/>
          <w:sz w:val="36"/>
          <w:szCs w:val="28"/>
          <w:u w:val="single"/>
          <w:lang w:eastAsia="hr-HR"/>
        </w:rPr>
        <w:t>Nuštar</w:t>
      </w:r>
      <w:r w:rsidRPr="00F00FFC">
        <w:rPr>
          <w:rFonts w:ascii="Calibri" w:eastAsia="Calibri" w:hAnsi="Calibri" w:cs="Arial"/>
          <w:b/>
          <w:sz w:val="36"/>
          <w:szCs w:val="28"/>
          <w:u w:val="single"/>
          <w:lang w:eastAsia="hr-HR"/>
        </w:rPr>
        <w:t xml:space="preserve"> s  datumom primjene od </w:t>
      </w:r>
      <w:r>
        <w:rPr>
          <w:rFonts w:ascii="Calibri" w:eastAsia="Calibri" w:hAnsi="Calibri" w:cs="Arial"/>
          <w:b/>
          <w:sz w:val="36"/>
          <w:szCs w:val="28"/>
          <w:u w:val="single"/>
          <w:lang w:eastAsia="hr-HR"/>
        </w:rPr>
        <w:t>01.04.2023</w:t>
      </w:r>
      <w:r w:rsidRPr="00F00FFC">
        <w:rPr>
          <w:rFonts w:ascii="Calibri" w:eastAsia="Calibri" w:hAnsi="Calibri" w:cs="Arial"/>
          <w:b/>
          <w:sz w:val="36"/>
          <w:szCs w:val="28"/>
          <w:u w:val="single"/>
          <w:lang w:eastAsia="hr-HR"/>
        </w:rPr>
        <w:t>. g.</w:t>
      </w:r>
    </w:p>
    <w:p w:rsidR="00246B4E" w:rsidRPr="00F00FFC" w:rsidRDefault="00246B4E" w:rsidP="00246B4E">
      <w:pPr>
        <w:spacing w:after="0" w:line="240" w:lineRule="auto"/>
        <w:jc w:val="center"/>
        <w:rPr>
          <w:rFonts w:ascii="Calibri" w:eastAsia="Calibri" w:hAnsi="Calibri" w:cs="Arial"/>
          <w:b/>
          <w:sz w:val="28"/>
          <w:szCs w:val="28"/>
          <w:u w:val="single"/>
          <w:lang w:eastAsia="hr-HR"/>
        </w:rPr>
      </w:pPr>
    </w:p>
    <w:p w:rsidR="00246B4E" w:rsidRDefault="00246B4E" w:rsidP="00246B4E">
      <w:pPr>
        <w:spacing w:after="0" w:line="240" w:lineRule="auto"/>
        <w:ind w:left="720"/>
        <w:contextualSpacing/>
        <w:rPr>
          <w:rFonts w:ascii="Times New Roman" w:eastAsia="Arial" w:hAnsi="Times New Roman" w:cs="Times New Roman"/>
          <w:color w:val="231F20"/>
          <w:lang w:eastAsia="hr-HR"/>
        </w:rPr>
      </w:pPr>
    </w:p>
    <w:p w:rsidR="00246B4E" w:rsidRPr="00F00FFC" w:rsidRDefault="00246B4E" w:rsidP="00246B4E">
      <w:pPr>
        <w:spacing w:after="0" w:line="240" w:lineRule="auto"/>
        <w:ind w:left="720"/>
        <w:contextualSpacing/>
        <w:rPr>
          <w:rFonts w:ascii="Times New Roman" w:eastAsia="Arial" w:hAnsi="Times New Roman" w:cs="Times New Roman"/>
          <w:color w:val="231F20"/>
          <w:lang w:eastAsia="hr-HR"/>
        </w:rPr>
      </w:pPr>
    </w:p>
    <w:p w:rsidR="00597DCF" w:rsidRDefault="00597DCF" w:rsidP="00597DCF">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w:t>
      </w:r>
      <w:r w:rsidRPr="00CD667D">
        <w:rPr>
          <w:rFonts w:ascii="Times New Roman" w:eastAsia="Arial" w:hAnsi="Times New Roman" w:cs="Times New Roman"/>
          <w:color w:val="231F20"/>
          <w:szCs w:val="20"/>
          <w:lang w:eastAsia="hr-HR"/>
        </w:rPr>
        <w:t>Odluke Općinskog vijeća o načinu pružanja javne usluge sakupljanja komunalnog otpada na području Općine Nuštar od dana 28. siječnja 2022. g., KLASA: 363-01/22-01/</w:t>
      </w:r>
      <w:proofErr w:type="spellStart"/>
      <w:r w:rsidRPr="00CD667D">
        <w:rPr>
          <w:rFonts w:ascii="Times New Roman" w:eastAsia="Arial" w:hAnsi="Times New Roman" w:cs="Times New Roman"/>
          <w:color w:val="231F20"/>
          <w:szCs w:val="20"/>
          <w:lang w:eastAsia="hr-HR"/>
        </w:rPr>
        <w:t>01</w:t>
      </w:r>
      <w:proofErr w:type="spellEnd"/>
      <w:r w:rsidRPr="00CD667D">
        <w:rPr>
          <w:rFonts w:ascii="Times New Roman" w:eastAsia="Arial" w:hAnsi="Times New Roman" w:cs="Times New Roman"/>
          <w:color w:val="231F20"/>
          <w:szCs w:val="20"/>
          <w:lang w:eastAsia="hr-HR"/>
        </w:rPr>
        <w:t>, URBROJ: 2188-07-20-02/03</w:t>
      </w:r>
      <w:r w:rsidRPr="00B045F2">
        <w:rPr>
          <w:rFonts w:ascii="Times New Roman" w:eastAsia="Calibri" w:hAnsi="Times New Roman" w:cs="Times New Roman"/>
          <w:lang w:eastAsia="hr-HR"/>
        </w:rPr>
        <w:t>)</w:t>
      </w:r>
      <w:r w:rsidRPr="00B045F2">
        <w:rPr>
          <w:rFonts w:ascii="Times New Roman" w:eastAsia="Arial" w:hAnsi="Times New Roman" w:cs="Times New Roman"/>
          <w:color w:val="231F20"/>
          <w:szCs w:val="20"/>
          <w:lang w:eastAsia="hr-HR"/>
        </w:rPr>
        <w:t>:</w:t>
      </w:r>
    </w:p>
    <w:p w:rsidR="00597DCF" w:rsidRDefault="00597DCF" w:rsidP="00597DCF">
      <w:pPr>
        <w:spacing w:after="0" w:line="240" w:lineRule="auto"/>
        <w:jc w:val="both"/>
        <w:rPr>
          <w:rFonts w:ascii="Times New Roman" w:eastAsia="Arial" w:hAnsi="Times New Roman" w:cs="Times New Roman"/>
          <w:color w:val="231F20"/>
          <w:szCs w:val="20"/>
          <w:lang w:eastAsia="hr-HR"/>
        </w:rPr>
      </w:pPr>
    </w:p>
    <w:tbl>
      <w:tblPr>
        <w:tblStyle w:val="Reetkatablice"/>
        <w:tblW w:w="0" w:type="auto"/>
        <w:tblLook w:val="04A0" w:firstRow="1" w:lastRow="0" w:firstColumn="1" w:lastColumn="0" w:noHBand="0" w:noVBand="1"/>
      </w:tblPr>
      <w:tblGrid>
        <w:gridCol w:w="3508"/>
        <w:gridCol w:w="1985"/>
        <w:gridCol w:w="1986"/>
        <w:gridCol w:w="1807"/>
      </w:tblGrid>
      <w:tr w:rsidR="00597DCF" w:rsidRPr="00B045F2" w:rsidTr="00BB2ADF">
        <w:trPr>
          <w:trHeight w:val="487"/>
        </w:trPr>
        <w:tc>
          <w:tcPr>
            <w:tcW w:w="3508" w:type="dxa"/>
          </w:tcPr>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Korisnici usluge - kategorija</w:t>
            </w:r>
          </w:p>
          <w:p w:rsidR="00597DCF" w:rsidRPr="00C44386" w:rsidRDefault="00597DCF" w:rsidP="00BB2ADF">
            <w:pPr>
              <w:jc w:val="both"/>
              <w:rPr>
                <w:rFonts w:ascii="Times New Roman" w:hAnsi="Times New Roman" w:cs="Times New Roman"/>
              </w:rPr>
            </w:pPr>
          </w:p>
        </w:tc>
        <w:tc>
          <w:tcPr>
            <w:tcW w:w="1985" w:type="dxa"/>
          </w:tcPr>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Cijena bez PDV-a</w:t>
            </w:r>
          </w:p>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EUR</w:t>
            </w:r>
          </w:p>
        </w:tc>
        <w:tc>
          <w:tcPr>
            <w:tcW w:w="1986" w:type="dxa"/>
          </w:tcPr>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Iznos PDV-a (13%)</w:t>
            </w:r>
            <w:r>
              <w:rPr>
                <w:rFonts w:ascii="Times New Roman" w:hAnsi="Times New Roman" w:cs="Times New Roman"/>
              </w:rPr>
              <w:t xml:space="preserve"> - </w:t>
            </w:r>
            <w:r w:rsidRPr="00C44386">
              <w:rPr>
                <w:rFonts w:ascii="Times New Roman" w:hAnsi="Times New Roman" w:cs="Times New Roman"/>
              </w:rPr>
              <w:t>EUR</w:t>
            </w:r>
          </w:p>
        </w:tc>
        <w:tc>
          <w:tcPr>
            <w:tcW w:w="1807" w:type="dxa"/>
          </w:tcPr>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Ukupna cijena sa PDV-om</w:t>
            </w:r>
            <w:r>
              <w:rPr>
                <w:rFonts w:ascii="Times New Roman" w:hAnsi="Times New Roman" w:cs="Times New Roman"/>
              </w:rPr>
              <w:t xml:space="preserve"> -</w:t>
            </w:r>
            <w:r w:rsidRPr="00C44386">
              <w:rPr>
                <w:rFonts w:ascii="Times New Roman" w:hAnsi="Times New Roman" w:cs="Times New Roman"/>
              </w:rPr>
              <w:t xml:space="preserve"> EUR</w:t>
            </w:r>
          </w:p>
        </w:tc>
      </w:tr>
      <w:tr w:rsidR="00597DCF" w:rsidRPr="00F00FFC" w:rsidTr="00BB2ADF">
        <w:trPr>
          <w:trHeight w:val="410"/>
        </w:trPr>
        <w:tc>
          <w:tcPr>
            <w:tcW w:w="3508" w:type="dxa"/>
          </w:tcPr>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Korisnici usluge kategorija kućanstvo</w:t>
            </w:r>
          </w:p>
          <w:p w:rsidR="00597DCF" w:rsidRPr="00C44386" w:rsidRDefault="00597DCF" w:rsidP="00BB2ADF">
            <w:pPr>
              <w:jc w:val="both"/>
              <w:rPr>
                <w:rFonts w:ascii="Times New Roman" w:hAnsi="Times New Roman" w:cs="Times New Roman"/>
              </w:rPr>
            </w:pPr>
          </w:p>
        </w:tc>
        <w:tc>
          <w:tcPr>
            <w:tcW w:w="1985" w:type="dxa"/>
          </w:tcPr>
          <w:p w:rsidR="00597DCF" w:rsidRPr="00C44386" w:rsidRDefault="00597DCF" w:rsidP="00BB2ADF">
            <w:pPr>
              <w:tabs>
                <w:tab w:val="right" w:pos="1769"/>
              </w:tabs>
              <w:jc w:val="both"/>
              <w:rPr>
                <w:rFonts w:ascii="Times New Roman" w:eastAsia="Calibri" w:hAnsi="Times New Roman" w:cs="Times New Roman"/>
              </w:rPr>
            </w:pPr>
            <w:r w:rsidRPr="00C44386">
              <w:rPr>
                <w:rFonts w:ascii="Times New Roman" w:eastAsia="Calibri" w:hAnsi="Times New Roman" w:cs="Times New Roman"/>
              </w:rPr>
              <w:t>6,41</w:t>
            </w:r>
            <w:r w:rsidRPr="00C44386">
              <w:rPr>
                <w:rFonts w:ascii="Times New Roman" w:eastAsia="Calibri" w:hAnsi="Times New Roman" w:cs="Times New Roman"/>
              </w:rPr>
              <w:tab/>
            </w:r>
          </w:p>
        </w:tc>
        <w:tc>
          <w:tcPr>
            <w:tcW w:w="1986" w:type="dxa"/>
          </w:tcPr>
          <w:p w:rsidR="00597DCF" w:rsidRPr="00C44386" w:rsidRDefault="00597DCF" w:rsidP="00BB2ADF">
            <w:pPr>
              <w:jc w:val="both"/>
              <w:rPr>
                <w:rFonts w:ascii="Times New Roman" w:eastAsia="Calibri" w:hAnsi="Times New Roman" w:cs="Times New Roman"/>
              </w:rPr>
            </w:pPr>
            <w:r w:rsidRPr="00C44386">
              <w:rPr>
                <w:rFonts w:ascii="Times New Roman" w:eastAsia="Calibri" w:hAnsi="Times New Roman" w:cs="Times New Roman"/>
              </w:rPr>
              <w:t>0,83</w:t>
            </w:r>
          </w:p>
        </w:tc>
        <w:tc>
          <w:tcPr>
            <w:tcW w:w="1807" w:type="dxa"/>
          </w:tcPr>
          <w:p w:rsidR="00597DCF" w:rsidRPr="00C44386" w:rsidRDefault="00597DCF" w:rsidP="00BB2ADF">
            <w:pPr>
              <w:jc w:val="both"/>
              <w:rPr>
                <w:rFonts w:ascii="Times New Roman" w:eastAsia="Calibri" w:hAnsi="Times New Roman" w:cs="Times New Roman"/>
              </w:rPr>
            </w:pPr>
            <w:r w:rsidRPr="00C44386">
              <w:rPr>
                <w:rFonts w:ascii="Times New Roman" w:eastAsia="Calibri" w:hAnsi="Times New Roman" w:cs="Times New Roman"/>
              </w:rPr>
              <w:t xml:space="preserve">7,24 </w:t>
            </w:r>
          </w:p>
          <w:p w:rsidR="00597DCF" w:rsidRPr="00C44386" w:rsidRDefault="00597DCF" w:rsidP="00BB2ADF">
            <w:pPr>
              <w:jc w:val="both"/>
              <w:rPr>
                <w:rFonts w:ascii="Times New Roman" w:eastAsia="Calibri" w:hAnsi="Times New Roman" w:cs="Times New Roman"/>
              </w:rPr>
            </w:pPr>
            <w:r w:rsidRPr="00C44386">
              <w:rPr>
                <w:rFonts w:ascii="Times New Roman" w:eastAsia="Calibri" w:hAnsi="Times New Roman" w:cs="Times New Roman"/>
              </w:rPr>
              <w:t>54,5</w:t>
            </w:r>
            <w:r>
              <w:rPr>
                <w:rFonts w:ascii="Times New Roman" w:eastAsia="Calibri" w:hAnsi="Times New Roman" w:cs="Times New Roman"/>
              </w:rPr>
              <w:t>5</w:t>
            </w:r>
            <w:r w:rsidRPr="00C44386">
              <w:rPr>
                <w:rFonts w:ascii="Times New Roman" w:eastAsia="Calibri" w:hAnsi="Times New Roman" w:cs="Times New Roman"/>
              </w:rPr>
              <w:t xml:space="preserve"> HRK</w:t>
            </w:r>
          </w:p>
          <w:p w:rsidR="00597DCF" w:rsidRPr="00C44386" w:rsidRDefault="00597DCF" w:rsidP="00BB2ADF">
            <w:pPr>
              <w:jc w:val="both"/>
              <w:rPr>
                <w:rFonts w:ascii="Times New Roman" w:eastAsia="Calibri" w:hAnsi="Times New Roman" w:cs="Times New Roman"/>
              </w:rPr>
            </w:pPr>
            <w:r w:rsidRPr="00C44386">
              <w:rPr>
                <w:rFonts w:ascii="Times New Roman" w:eastAsia="Calibri" w:hAnsi="Times New Roman" w:cs="Times New Roman"/>
              </w:rPr>
              <w:t xml:space="preserve">  </w:t>
            </w:r>
          </w:p>
        </w:tc>
      </w:tr>
      <w:tr w:rsidR="00597DCF" w:rsidRPr="00F00FFC" w:rsidTr="00BB2ADF">
        <w:trPr>
          <w:trHeight w:val="415"/>
        </w:trPr>
        <w:tc>
          <w:tcPr>
            <w:tcW w:w="3508" w:type="dxa"/>
          </w:tcPr>
          <w:p w:rsidR="00597DCF" w:rsidRPr="00C44386" w:rsidRDefault="00597DCF" w:rsidP="00BB2ADF">
            <w:pPr>
              <w:jc w:val="both"/>
              <w:rPr>
                <w:rFonts w:ascii="Times New Roman" w:hAnsi="Times New Roman" w:cs="Times New Roman"/>
              </w:rPr>
            </w:pPr>
            <w:r w:rsidRPr="00C44386">
              <w:rPr>
                <w:rFonts w:ascii="Times New Roman" w:hAnsi="Times New Roman" w:cs="Times New Roman"/>
              </w:rPr>
              <w:t>Korisnici usluge koji nisu kategorija kućanstvo</w:t>
            </w:r>
          </w:p>
        </w:tc>
        <w:tc>
          <w:tcPr>
            <w:tcW w:w="1985" w:type="dxa"/>
          </w:tcPr>
          <w:p w:rsidR="00597DCF" w:rsidRPr="00C44386" w:rsidRDefault="00597DCF" w:rsidP="00BB2ADF">
            <w:pPr>
              <w:tabs>
                <w:tab w:val="right" w:pos="1769"/>
              </w:tabs>
              <w:jc w:val="both"/>
              <w:rPr>
                <w:rFonts w:ascii="Times New Roman" w:eastAsia="Calibri" w:hAnsi="Times New Roman" w:cs="Times New Roman"/>
              </w:rPr>
            </w:pPr>
            <w:r w:rsidRPr="00C44386">
              <w:rPr>
                <w:rFonts w:ascii="Times New Roman" w:eastAsia="Calibri" w:hAnsi="Times New Roman" w:cs="Times New Roman"/>
              </w:rPr>
              <w:t>6,41</w:t>
            </w:r>
            <w:r w:rsidRPr="00C44386">
              <w:rPr>
                <w:rFonts w:ascii="Times New Roman" w:eastAsia="Calibri" w:hAnsi="Times New Roman" w:cs="Times New Roman"/>
              </w:rPr>
              <w:tab/>
            </w:r>
          </w:p>
        </w:tc>
        <w:tc>
          <w:tcPr>
            <w:tcW w:w="1986" w:type="dxa"/>
          </w:tcPr>
          <w:p w:rsidR="00597DCF" w:rsidRPr="00C44386" w:rsidRDefault="00597DCF" w:rsidP="00BB2ADF">
            <w:pPr>
              <w:jc w:val="both"/>
              <w:rPr>
                <w:rFonts w:ascii="Times New Roman" w:eastAsia="Calibri" w:hAnsi="Times New Roman" w:cs="Times New Roman"/>
              </w:rPr>
            </w:pPr>
            <w:r w:rsidRPr="00C44386">
              <w:rPr>
                <w:rFonts w:ascii="Times New Roman" w:eastAsia="Calibri" w:hAnsi="Times New Roman" w:cs="Times New Roman"/>
              </w:rPr>
              <w:t>0,83</w:t>
            </w:r>
          </w:p>
        </w:tc>
        <w:tc>
          <w:tcPr>
            <w:tcW w:w="1807" w:type="dxa"/>
          </w:tcPr>
          <w:p w:rsidR="00597DCF" w:rsidRPr="00C44386" w:rsidRDefault="00597DCF" w:rsidP="00BB2ADF">
            <w:pPr>
              <w:jc w:val="both"/>
              <w:rPr>
                <w:rFonts w:ascii="Times New Roman" w:eastAsia="Calibri" w:hAnsi="Times New Roman" w:cs="Times New Roman"/>
              </w:rPr>
            </w:pPr>
            <w:r w:rsidRPr="00C44386">
              <w:rPr>
                <w:rFonts w:ascii="Times New Roman" w:eastAsia="Calibri" w:hAnsi="Times New Roman" w:cs="Times New Roman"/>
              </w:rPr>
              <w:t xml:space="preserve">7,24 </w:t>
            </w:r>
          </w:p>
        </w:tc>
      </w:tr>
    </w:tbl>
    <w:p w:rsidR="00597DCF" w:rsidRPr="00B045F2" w:rsidRDefault="00597DCF" w:rsidP="00597DCF">
      <w:pPr>
        <w:spacing w:after="0" w:line="240" w:lineRule="auto"/>
        <w:jc w:val="both"/>
        <w:rPr>
          <w:rFonts w:ascii="Times New Roman" w:eastAsia="Arial" w:hAnsi="Times New Roman" w:cs="Times New Roman"/>
          <w:color w:val="231F20"/>
          <w:lang w:eastAsia="hr-HR"/>
        </w:rPr>
      </w:pPr>
    </w:p>
    <w:p w:rsidR="00597DCF" w:rsidRPr="00B045F2" w:rsidRDefault="00597DCF" w:rsidP="00597DCF">
      <w:pPr>
        <w:spacing w:after="0" w:line="240" w:lineRule="auto"/>
        <w:rPr>
          <w:rFonts w:ascii="Times New Roman" w:eastAsia="Arial" w:hAnsi="Times New Roman" w:cs="Times New Roman"/>
          <w:color w:val="231F20"/>
          <w:szCs w:val="20"/>
          <w:lang w:eastAsia="hr-HR"/>
        </w:rPr>
      </w:pPr>
    </w:p>
    <w:p w:rsidR="00597DCF" w:rsidRDefault="00597DCF" w:rsidP="00597DCF">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 xml:space="preserve">2.KRITERIJ ZA UMANJENJE CIJENE OBVEZNE MINIMALNE JAVNE USLUGE (MJU) NA MJESEČNOJ BAZI KATEGORIJA KUĆANSTVO – POTKATEGORIJA OBITELJSKE KUĆE KOJI SAMI KOMPOSTIRAJU BIOOTPAD (određen čl. 17. </w:t>
      </w:r>
      <w:r w:rsidRPr="00CD667D">
        <w:rPr>
          <w:rFonts w:ascii="Times New Roman" w:eastAsia="Arial" w:hAnsi="Times New Roman" w:cs="Times New Roman"/>
          <w:color w:val="231F20"/>
          <w:szCs w:val="20"/>
          <w:lang w:eastAsia="hr-HR"/>
        </w:rPr>
        <w:t>Odluke Općinskog vijeća o načinu pružanja javne usluge sakupljanja komunalnog otpada na području Općine Nuštar od dana 28. siječnja 2022. g., KLASA: 363-01/22-01/</w:t>
      </w:r>
      <w:proofErr w:type="spellStart"/>
      <w:r w:rsidRPr="00CD667D">
        <w:rPr>
          <w:rFonts w:ascii="Times New Roman" w:eastAsia="Arial" w:hAnsi="Times New Roman" w:cs="Times New Roman"/>
          <w:color w:val="231F20"/>
          <w:szCs w:val="20"/>
          <w:lang w:eastAsia="hr-HR"/>
        </w:rPr>
        <w:t>01</w:t>
      </w:r>
      <w:proofErr w:type="spellEnd"/>
      <w:r w:rsidRPr="00CD667D">
        <w:rPr>
          <w:rFonts w:ascii="Times New Roman" w:eastAsia="Arial" w:hAnsi="Times New Roman" w:cs="Times New Roman"/>
          <w:color w:val="231F20"/>
          <w:szCs w:val="20"/>
          <w:lang w:eastAsia="hr-HR"/>
        </w:rPr>
        <w:t>, URBROJ: 2188-07-20-02/03</w:t>
      </w:r>
      <w:r w:rsidRPr="00B045F2">
        <w:rPr>
          <w:rFonts w:ascii="Times New Roman" w:eastAsia="Arial" w:hAnsi="Times New Roman" w:cs="Times New Roman"/>
          <w:color w:val="231F20"/>
          <w:szCs w:val="20"/>
          <w:lang w:eastAsia="hr-HR"/>
        </w:rPr>
        <w:t>):</w:t>
      </w:r>
    </w:p>
    <w:p w:rsidR="00597DCF" w:rsidRPr="00B045F2" w:rsidRDefault="00597DCF" w:rsidP="00597DCF">
      <w:pPr>
        <w:spacing w:after="0" w:line="240" w:lineRule="auto"/>
        <w:jc w:val="both"/>
        <w:rPr>
          <w:rFonts w:ascii="Times New Roman" w:eastAsia="Arial" w:hAnsi="Times New Roman" w:cs="Times New Roman"/>
          <w:color w:val="231F20"/>
          <w:szCs w:val="20"/>
          <w:lang w:eastAsia="hr-HR"/>
        </w:rPr>
      </w:pPr>
    </w:p>
    <w:tbl>
      <w:tblPr>
        <w:tblStyle w:val="Reetkatablice1"/>
        <w:tblW w:w="0" w:type="auto"/>
        <w:tblLook w:val="04A0" w:firstRow="1" w:lastRow="0" w:firstColumn="1" w:lastColumn="0" w:noHBand="0" w:noVBand="1"/>
      </w:tblPr>
      <w:tblGrid>
        <w:gridCol w:w="1391"/>
        <w:gridCol w:w="1433"/>
        <w:gridCol w:w="1695"/>
        <w:gridCol w:w="1600"/>
        <w:gridCol w:w="1471"/>
        <w:gridCol w:w="1698"/>
      </w:tblGrid>
      <w:tr w:rsidR="00597DCF" w:rsidRPr="004842E8" w:rsidTr="00BB2ADF">
        <w:trPr>
          <w:trHeight w:val="492"/>
        </w:trPr>
        <w:tc>
          <w:tcPr>
            <w:tcW w:w="4531" w:type="dxa"/>
            <w:gridSpan w:val="3"/>
          </w:tcPr>
          <w:p w:rsidR="00597DCF" w:rsidRPr="00506BAD" w:rsidRDefault="00597DCF" w:rsidP="00BB2ADF">
            <w:pPr>
              <w:jc w:val="both"/>
              <w:rPr>
                <w:sz w:val="22"/>
              </w:rPr>
            </w:pPr>
            <w:r w:rsidRPr="00506BAD">
              <w:rPr>
                <w:sz w:val="22"/>
              </w:rPr>
              <w:t xml:space="preserve">Cijena MJU za korisnike kategorije kućanstvo – potkategorije obiteljske kuće, koji sami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–iznos umanjenja cijene za </w:t>
            </w:r>
            <w:r>
              <w:rPr>
                <w:sz w:val="22"/>
              </w:rPr>
              <w:t>2,66 EUR</w:t>
            </w:r>
            <w:r w:rsidRPr="00506BAD">
              <w:rPr>
                <w:sz w:val="22"/>
              </w:rPr>
              <w:t xml:space="preserve"> s PDV-om od iznosa </w:t>
            </w:r>
            <w:r>
              <w:rPr>
                <w:sz w:val="22"/>
              </w:rPr>
              <w:t xml:space="preserve">7,24 EUR </w:t>
            </w:r>
            <w:r w:rsidRPr="00506BAD">
              <w:rPr>
                <w:sz w:val="22"/>
              </w:rPr>
              <w:t>s PDV-om</w:t>
            </w:r>
          </w:p>
        </w:tc>
        <w:tc>
          <w:tcPr>
            <w:tcW w:w="4395" w:type="dxa"/>
            <w:gridSpan w:val="3"/>
          </w:tcPr>
          <w:p w:rsidR="00597DCF" w:rsidRPr="00506BAD" w:rsidRDefault="00597DCF" w:rsidP="00BB2ADF">
            <w:pPr>
              <w:jc w:val="both"/>
              <w:rPr>
                <w:sz w:val="22"/>
              </w:rPr>
            </w:pPr>
            <w:r w:rsidRPr="00506BAD">
              <w:rPr>
                <w:sz w:val="22"/>
              </w:rPr>
              <w:t xml:space="preserve">Cijena MJU za korisnike kategorije kućanstvo – potkategorije obiteljske kuće, koji sami ne </w:t>
            </w:r>
            <w:proofErr w:type="spellStart"/>
            <w:r w:rsidRPr="00506BAD">
              <w:rPr>
                <w:sz w:val="22"/>
              </w:rPr>
              <w:t>kompostiraju</w:t>
            </w:r>
            <w:proofErr w:type="spellEnd"/>
            <w:r w:rsidRPr="00506BAD">
              <w:rPr>
                <w:sz w:val="22"/>
              </w:rPr>
              <w:t xml:space="preserve"> </w:t>
            </w:r>
            <w:proofErr w:type="spellStart"/>
            <w:r w:rsidRPr="00506BAD">
              <w:rPr>
                <w:sz w:val="22"/>
              </w:rPr>
              <w:t>biootpad</w:t>
            </w:r>
            <w:proofErr w:type="spellEnd"/>
            <w:r w:rsidRPr="00506BAD">
              <w:rPr>
                <w:sz w:val="22"/>
              </w:rPr>
              <w:t xml:space="preserve"> (kn) – nema umanjenja cijene</w:t>
            </w:r>
          </w:p>
        </w:tc>
      </w:tr>
      <w:tr w:rsidR="00597DCF" w:rsidRPr="004842E8" w:rsidTr="00BB2ADF">
        <w:trPr>
          <w:trHeight w:val="492"/>
        </w:trPr>
        <w:tc>
          <w:tcPr>
            <w:tcW w:w="1394" w:type="dxa"/>
          </w:tcPr>
          <w:p w:rsidR="00597DCF" w:rsidRPr="004842E8" w:rsidRDefault="00597DCF" w:rsidP="00BB2ADF">
            <w:pPr>
              <w:jc w:val="both"/>
              <w:rPr>
                <w:sz w:val="22"/>
              </w:rPr>
            </w:pPr>
            <w:r w:rsidRPr="004842E8">
              <w:rPr>
                <w:sz w:val="22"/>
              </w:rPr>
              <w:t xml:space="preserve">Cijena bez PDV-a- </w:t>
            </w:r>
            <w:r>
              <w:rPr>
                <w:sz w:val="22"/>
              </w:rPr>
              <w:t>EUR</w:t>
            </w:r>
          </w:p>
        </w:tc>
        <w:tc>
          <w:tcPr>
            <w:tcW w:w="1437" w:type="dxa"/>
          </w:tcPr>
          <w:p w:rsidR="00597DCF" w:rsidRPr="004842E8" w:rsidRDefault="00597DCF" w:rsidP="00BB2ADF">
            <w:pPr>
              <w:jc w:val="both"/>
              <w:rPr>
                <w:sz w:val="22"/>
              </w:rPr>
            </w:pPr>
            <w:r w:rsidRPr="004842E8">
              <w:rPr>
                <w:sz w:val="22"/>
              </w:rPr>
              <w:t>Iznos PDV-a (13%)</w:t>
            </w:r>
            <w:r>
              <w:rPr>
                <w:sz w:val="22"/>
              </w:rPr>
              <w:t xml:space="preserve"> EUR</w:t>
            </w:r>
          </w:p>
        </w:tc>
        <w:tc>
          <w:tcPr>
            <w:tcW w:w="1700" w:type="dxa"/>
          </w:tcPr>
          <w:p w:rsidR="00597DCF" w:rsidRPr="004842E8" w:rsidRDefault="00597DCF" w:rsidP="00BB2ADF">
            <w:pPr>
              <w:jc w:val="both"/>
              <w:rPr>
                <w:sz w:val="22"/>
              </w:rPr>
            </w:pPr>
            <w:r w:rsidRPr="004842E8">
              <w:rPr>
                <w:sz w:val="22"/>
              </w:rPr>
              <w:t>Ukupna cijena s PDV-om</w:t>
            </w:r>
            <w:r>
              <w:rPr>
                <w:sz w:val="22"/>
              </w:rPr>
              <w:t xml:space="preserve"> EUR</w:t>
            </w:r>
          </w:p>
        </w:tc>
        <w:tc>
          <w:tcPr>
            <w:tcW w:w="1219" w:type="dxa"/>
          </w:tcPr>
          <w:p w:rsidR="00597DCF" w:rsidRPr="004842E8" w:rsidRDefault="00597DCF" w:rsidP="00BB2ADF">
            <w:pPr>
              <w:jc w:val="both"/>
              <w:rPr>
                <w:sz w:val="22"/>
              </w:rPr>
            </w:pPr>
            <w:r w:rsidRPr="004842E8">
              <w:rPr>
                <w:sz w:val="22"/>
              </w:rPr>
              <w:t>Cijena bez PDV-a</w:t>
            </w:r>
            <w:r>
              <w:rPr>
                <w:sz w:val="22"/>
              </w:rPr>
              <w:t xml:space="preserve"> EUR</w:t>
            </w:r>
          </w:p>
        </w:tc>
        <w:tc>
          <w:tcPr>
            <w:tcW w:w="1475" w:type="dxa"/>
          </w:tcPr>
          <w:p w:rsidR="00597DCF" w:rsidRPr="004842E8" w:rsidRDefault="00597DCF" w:rsidP="00BB2ADF">
            <w:pPr>
              <w:jc w:val="both"/>
              <w:rPr>
                <w:sz w:val="22"/>
              </w:rPr>
            </w:pPr>
            <w:r w:rsidRPr="004842E8">
              <w:rPr>
                <w:sz w:val="22"/>
              </w:rPr>
              <w:t>Iznos PDV-a (13%)</w:t>
            </w:r>
            <w:r>
              <w:rPr>
                <w:sz w:val="22"/>
              </w:rPr>
              <w:t xml:space="preserve"> EUR</w:t>
            </w:r>
          </w:p>
        </w:tc>
        <w:tc>
          <w:tcPr>
            <w:tcW w:w="1701" w:type="dxa"/>
          </w:tcPr>
          <w:p w:rsidR="00597DCF" w:rsidRPr="004842E8" w:rsidRDefault="00597DCF" w:rsidP="00BB2ADF">
            <w:pPr>
              <w:jc w:val="both"/>
              <w:rPr>
                <w:sz w:val="22"/>
              </w:rPr>
            </w:pPr>
            <w:r w:rsidRPr="004842E8">
              <w:rPr>
                <w:sz w:val="22"/>
              </w:rPr>
              <w:t>Ukupna cijena s PDV-om</w:t>
            </w:r>
            <w:r>
              <w:rPr>
                <w:sz w:val="22"/>
              </w:rPr>
              <w:t xml:space="preserve"> EUR</w:t>
            </w:r>
          </w:p>
        </w:tc>
      </w:tr>
      <w:tr w:rsidR="00597DCF" w:rsidRPr="004842E8" w:rsidTr="00BB2ADF">
        <w:trPr>
          <w:trHeight w:val="414"/>
        </w:trPr>
        <w:tc>
          <w:tcPr>
            <w:tcW w:w="1394" w:type="dxa"/>
          </w:tcPr>
          <w:p w:rsidR="00597DCF" w:rsidRPr="00506BAD" w:rsidRDefault="00597DCF" w:rsidP="00BB2ADF">
            <w:pPr>
              <w:jc w:val="both"/>
              <w:rPr>
                <w:sz w:val="22"/>
              </w:rPr>
            </w:pPr>
            <w:r>
              <w:rPr>
                <w:b/>
                <w:sz w:val="22"/>
              </w:rPr>
              <w:t>4,05</w:t>
            </w:r>
            <w:r w:rsidRPr="00506BAD">
              <w:rPr>
                <w:b/>
                <w:sz w:val="22"/>
              </w:rPr>
              <w:t xml:space="preserve"> </w:t>
            </w:r>
          </w:p>
        </w:tc>
        <w:tc>
          <w:tcPr>
            <w:tcW w:w="1437" w:type="dxa"/>
          </w:tcPr>
          <w:p w:rsidR="00597DCF" w:rsidRPr="00506BAD" w:rsidRDefault="00597DCF" w:rsidP="00BB2ADF">
            <w:pPr>
              <w:jc w:val="both"/>
              <w:rPr>
                <w:b/>
                <w:sz w:val="22"/>
              </w:rPr>
            </w:pPr>
            <w:r>
              <w:rPr>
                <w:b/>
                <w:sz w:val="22"/>
              </w:rPr>
              <w:t>0,53</w:t>
            </w:r>
          </w:p>
          <w:p w:rsidR="00597DCF" w:rsidRPr="00506BAD" w:rsidRDefault="00597DCF" w:rsidP="00BB2ADF">
            <w:pPr>
              <w:jc w:val="both"/>
              <w:rPr>
                <w:b/>
                <w:sz w:val="22"/>
              </w:rPr>
            </w:pPr>
          </w:p>
        </w:tc>
        <w:tc>
          <w:tcPr>
            <w:tcW w:w="1700" w:type="dxa"/>
          </w:tcPr>
          <w:p w:rsidR="00597DCF" w:rsidRDefault="00597DCF" w:rsidP="00BB2ADF">
            <w:pPr>
              <w:jc w:val="both"/>
              <w:rPr>
                <w:b/>
                <w:sz w:val="22"/>
              </w:rPr>
            </w:pPr>
            <w:r>
              <w:rPr>
                <w:b/>
                <w:sz w:val="22"/>
              </w:rPr>
              <w:t xml:space="preserve">  4,58 </w:t>
            </w:r>
          </w:p>
          <w:p w:rsidR="00597DCF" w:rsidRPr="00506BAD" w:rsidRDefault="00597DCF" w:rsidP="00BB2ADF">
            <w:pPr>
              <w:jc w:val="both"/>
              <w:rPr>
                <w:b/>
                <w:sz w:val="22"/>
              </w:rPr>
            </w:pPr>
            <w:r w:rsidRPr="00506BAD">
              <w:rPr>
                <w:b/>
                <w:sz w:val="22"/>
              </w:rPr>
              <w:t>34,5</w:t>
            </w:r>
            <w:r>
              <w:rPr>
                <w:b/>
                <w:sz w:val="22"/>
              </w:rPr>
              <w:t>1</w:t>
            </w:r>
            <w:r w:rsidRPr="00506BAD">
              <w:rPr>
                <w:b/>
                <w:sz w:val="22"/>
              </w:rPr>
              <w:t xml:space="preserve"> </w:t>
            </w:r>
            <w:r>
              <w:rPr>
                <w:b/>
                <w:sz w:val="22"/>
              </w:rPr>
              <w:t>HRK</w:t>
            </w:r>
          </w:p>
        </w:tc>
        <w:tc>
          <w:tcPr>
            <w:tcW w:w="1219" w:type="dxa"/>
          </w:tcPr>
          <w:p w:rsidR="00597DCF" w:rsidRPr="008F7810" w:rsidRDefault="00597DCF" w:rsidP="00BB2ADF">
            <w:pPr>
              <w:tabs>
                <w:tab w:val="right" w:pos="1769"/>
              </w:tabs>
              <w:jc w:val="both"/>
              <w:rPr>
                <w:rFonts w:eastAsia="Calibri"/>
                <w:sz w:val="22"/>
              </w:rPr>
            </w:pPr>
            <w:r w:rsidRPr="008F7810">
              <w:rPr>
                <w:rFonts w:eastAsia="Calibri"/>
                <w:sz w:val="22"/>
              </w:rPr>
              <w:t>6,41</w:t>
            </w:r>
            <w:r w:rsidRPr="008F7810">
              <w:rPr>
                <w:rFonts w:eastAsia="Calibri"/>
                <w:sz w:val="22"/>
              </w:rPr>
              <w:tab/>
            </w:r>
          </w:p>
        </w:tc>
        <w:tc>
          <w:tcPr>
            <w:tcW w:w="1475" w:type="dxa"/>
          </w:tcPr>
          <w:p w:rsidR="00597DCF" w:rsidRPr="008F7810" w:rsidRDefault="00597DCF" w:rsidP="00BB2ADF">
            <w:pPr>
              <w:jc w:val="both"/>
              <w:rPr>
                <w:rFonts w:eastAsia="Calibri"/>
                <w:sz w:val="22"/>
              </w:rPr>
            </w:pPr>
            <w:r w:rsidRPr="008F7810">
              <w:rPr>
                <w:rFonts w:eastAsia="Calibri"/>
                <w:sz w:val="22"/>
              </w:rPr>
              <w:t>0,83</w:t>
            </w:r>
          </w:p>
        </w:tc>
        <w:tc>
          <w:tcPr>
            <w:tcW w:w="1701" w:type="dxa"/>
          </w:tcPr>
          <w:p w:rsidR="00597DCF" w:rsidRPr="008F7810" w:rsidRDefault="00597DCF" w:rsidP="00BB2ADF">
            <w:pPr>
              <w:jc w:val="both"/>
              <w:rPr>
                <w:rFonts w:eastAsia="Calibri"/>
                <w:sz w:val="22"/>
              </w:rPr>
            </w:pPr>
            <w:r w:rsidRPr="008F7810">
              <w:rPr>
                <w:rFonts w:eastAsia="Calibri"/>
                <w:sz w:val="22"/>
              </w:rPr>
              <w:t xml:space="preserve">  7,24 </w:t>
            </w:r>
          </w:p>
          <w:p w:rsidR="00597DCF" w:rsidRPr="008F7810" w:rsidRDefault="00597DCF" w:rsidP="00BB2ADF">
            <w:pPr>
              <w:jc w:val="both"/>
              <w:rPr>
                <w:rFonts w:eastAsia="Calibri"/>
                <w:sz w:val="22"/>
              </w:rPr>
            </w:pPr>
            <w:r w:rsidRPr="008F7810">
              <w:rPr>
                <w:rFonts w:eastAsia="Calibri"/>
                <w:sz w:val="22"/>
              </w:rPr>
              <w:t>54,5</w:t>
            </w:r>
            <w:r>
              <w:rPr>
                <w:rFonts w:eastAsia="Calibri"/>
                <w:sz w:val="22"/>
              </w:rPr>
              <w:t>5</w:t>
            </w:r>
            <w:r w:rsidRPr="008F7810">
              <w:rPr>
                <w:rFonts w:eastAsia="Calibri"/>
                <w:sz w:val="22"/>
              </w:rPr>
              <w:t>HRK</w:t>
            </w:r>
          </w:p>
          <w:p w:rsidR="00597DCF" w:rsidRPr="008F7810" w:rsidRDefault="00597DCF" w:rsidP="00BB2ADF">
            <w:pPr>
              <w:jc w:val="both"/>
              <w:rPr>
                <w:rFonts w:eastAsia="Calibri"/>
                <w:sz w:val="22"/>
              </w:rPr>
            </w:pPr>
            <w:r w:rsidRPr="008F7810">
              <w:rPr>
                <w:rFonts w:eastAsia="Calibri"/>
                <w:sz w:val="22"/>
              </w:rPr>
              <w:t xml:space="preserve">  </w:t>
            </w:r>
          </w:p>
        </w:tc>
      </w:tr>
    </w:tbl>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spacing w:after="0" w:line="240" w:lineRule="auto"/>
        <w:rPr>
          <w:rFonts w:ascii="Times New Roman" w:eastAsia="Calibri" w:hAnsi="Times New Roman" w:cs="Times New Roman"/>
          <w:sz w:val="28"/>
          <w:szCs w:val="24"/>
          <w:lang w:eastAsia="hr-HR"/>
        </w:rPr>
      </w:pPr>
    </w:p>
    <w:p w:rsidR="00597DCF" w:rsidRDefault="00597DCF" w:rsidP="00597DCF">
      <w:pPr>
        <w:rPr>
          <w:rFonts w:ascii="Times New Roman" w:hAnsi="Times New Roman" w:cs="Times New Roman"/>
        </w:rPr>
      </w:pPr>
      <w:r>
        <w:rPr>
          <w:rFonts w:ascii="Times New Roman" w:hAnsi="Times New Roman" w:cs="Times New Roman"/>
        </w:rPr>
        <w:lastRenderedPageBreak/>
        <w:t>3.</w:t>
      </w:r>
      <w:r w:rsidRPr="00436760">
        <w:rPr>
          <w:rFonts w:ascii="Times New Roman" w:hAnsi="Times New Roman" w:cs="Times New Roman"/>
        </w:rPr>
        <w:t xml:space="preserve">KRITERIJ ZA UMANJENJE CIJENE OBVEZNE MINIMALNE JAVNE USLUGE (MJU) NA MJESEČNOJ BAZI KATEGORIJA KUĆANSTVO – POTKATEGORIJA ETAŽNI STANOVI (određena čl. 17. </w:t>
      </w:r>
      <w:r w:rsidRPr="00CD667D">
        <w:rPr>
          <w:rFonts w:ascii="Times New Roman" w:hAnsi="Times New Roman" w:cs="Times New Roman"/>
        </w:rPr>
        <w:t>Odluke Općinskog vijeća o načinu pružanja javne usluge sakupljanja komunalnog otpada na području Općine Nuštar od dana 28. siječnja 2022. g., KLASA: 363-01/22-01/</w:t>
      </w:r>
      <w:proofErr w:type="spellStart"/>
      <w:r w:rsidRPr="00CD667D">
        <w:rPr>
          <w:rFonts w:ascii="Times New Roman" w:hAnsi="Times New Roman" w:cs="Times New Roman"/>
        </w:rPr>
        <w:t>01</w:t>
      </w:r>
      <w:proofErr w:type="spellEnd"/>
      <w:r w:rsidRPr="00CD667D">
        <w:rPr>
          <w:rFonts w:ascii="Times New Roman" w:hAnsi="Times New Roman" w:cs="Times New Roman"/>
        </w:rPr>
        <w:t>, URBROJ: 2188-07-20-02/03</w:t>
      </w:r>
      <w:r w:rsidRPr="00436760">
        <w:rPr>
          <w:rFonts w:ascii="Times New Roman" w:hAnsi="Times New Roman" w:cs="Times New Roman"/>
        </w:rPr>
        <w:t xml:space="preserve">): </w:t>
      </w:r>
    </w:p>
    <w:tbl>
      <w:tblPr>
        <w:tblStyle w:val="Reetkatablice"/>
        <w:tblW w:w="0" w:type="auto"/>
        <w:tblLook w:val="04A0" w:firstRow="1" w:lastRow="0" w:firstColumn="1" w:lastColumn="0" w:noHBand="0" w:noVBand="1"/>
      </w:tblPr>
      <w:tblGrid>
        <w:gridCol w:w="3510"/>
        <w:gridCol w:w="1985"/>
        <w:gridCol w:w="2126"/>
        <w:gridCol w:w="1667"/>
      </w:tblGrid>
      <w:tr w:rsidR="00597DCF" w:rsidRPr="00B045F2" w:rsidTr="00BB2ADF">
        <w:trPr>
          <w:trHeight w:val="487"/>
        </w:trPr>
        <w:tc>
          <w:tcPr>
            <w:tcW w:w="3510" w:type="dxa"/>
          </w:tcPr>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 xml:space="preserve">Korisnici MJU kategorija kućanstvo/potkategorija etažni stanovi/zajednički spremnik na obračunskom mjestu – obavezno svaki korisnik plaća – postotak umanjenja cijene za </w:t>
            </w:r>
            <w:r>
              <w:rPr>
                <w:rFonts w:ascii="Times New Roman" w:hAnsi="Times New Roman" w:cs="Times New Roman"/>
              </w:rPr>
              <w:t>2,66 EUR-a</w:t>
            </w:r>
            <w:r w:rsidRPr="008F7810">
              <w:rPr>
                <w:rFonts w:ascii="Times New Roman" w:hAnsi="Times New Roman" w:cs="Times New Roman"/>
              </w:rPr>
              <w:t xml:space="preserve"> s PDV-om od iznosa </w:t>
            </w:r>
            <w:r w:rsidR="00660318">
              <w:rPr>
                <w:rFonts w:ascii="Times New Roman" w:hAnsi="Times New Roman" w:cs="Times New Roman"/>
              </w:rPr>
              <w:t>7,2</w:t>
            </w:r>
            <w:r>
              <w:rPr>
                <w:rFonts w:ascii="Times New Roman" w:hAnsi="Times New Roman" w:cs="Times New Roman"/>
              </w:rPr>
              <w:t>4 EUR-a</w:t>
            </w:r>
            <w:r w:rsidRPr="008F7810">
              <w:rPr>
                <w:rFonts w:ascii="Times New Roman" w:hAnsi="Times New Roman" w:cs="Times New Roman"/>
              </w:rPr>
              <w:t xml:space="preserve"> s PDV-om</w:t>
            </w:r>
          </w:p>
        </w:tc>
        <w:tc>
          <w:tcPr>
            <w:tcW w:w="1985" w:type="dxa"/>
          </w:tcPr>
          <w:p w:rsidR="00597DCF" w:rsidRPr="008F7810" w:rsidRDefault="00597DCF" w:rsidP="00BB2ADF">
            <w:pPr>
              <w:jc w:val="center"/>
              <w:rPr>
                <w:rFonts w:ascii="Times New Roman" w:hAnsi="Times New Roman" w:cs="Times New Roman"/>
              </w:rPr>
            </w:pPr>
            <w:r w:rsidRPr="008F7810">
              <w:rPr>
                <w:rFonts w:ascii="Times New Roman" w:hAnsi="Times New Roman" w:cs="Times New Roman"/>
              </w:rPr>
              <w:t>Cijena bez PDV-a</w:t>
            </w:r>
          </w:p>
          <w:p w:rsidR="00597DCF" w:rsidRPr="008F7810" w:rsidRDefault="00597DCF" w:rsidP="00BB2ADF">
            <w:pPr>
              <w:jc w:val="center"/>
              <w:rPr>
                <w:rFonts w:ascii="Times New Roman" w:hAnsi="Times New Roman" w:cs="Times New Roman"/>
              </w:rPr>
            </w:pPr>
            <w:r w:rsidRPr="008F7810">
              <w:rPr>
                <w:rFonts w:ascii="Times New Roman" w:hAnsi="Times New Roman" w:cs="Times New Roman"/>
              </w:rPr>
              <w:t>EUR</w:t>
            </w:r>
          </w:p>
        </w:tc>
        <w:tc>
          <w:tcPr>
            <w:tcW w:w="2126" w:type="dxa"/>
          </w:tcPr>
          <w:p w:rsidR="00597DCF" w:rsidRPr="008F7810" w:rsidRDefault="00597DCF" w:rsidP="00BB2ADF">
            <w:pPr>
              <w:jc w:val="center"/>
              <w:rPr>
                <w:rFonts w:ascii="Times New Roman" w:hAnsi="Times New Roman" w:cs="Times New Roman"/>
              </w:rPr>
            </w:pPr>
            <w:r w:rsidRPr="008F7810">
              <w:rPr>
                <w:rFonts w:ascii="Times New Roman" w:hAnsi="Times New Roman" w:cs="Times New Roman"/>
              </w:rPr>
              <w:t>Iznos PDV-a (13%)</w:t>
            </w:r>
          </w:p>
          <w:p w:rsidR="00597DCF" w:rsidRPr="008F7810" w:rsidRDefault="00597DCF" w:rsidP="00BB2ADF">
            <w:pPr>
              <w:jc w:val="center"/>
              <w:rPr>
                <w:rFonts w:ascii="Times New Roman" w:hAnsi="Times New Roman" w:cs="Times New Roman"/>
              </w:rPr>
            </w:pPr>
            <w:r w:rsidRPr="008F7810">
              <w:rPr>
                <w:rFonts w:ascii="Times New Roman" w:hAnsi="Times New Roman" w:cs="Times New Roman"/>
              </w:rPr>
              <w:t>EUR</w:t>
            </w:r>
          </w:p>
        </w:tc>
        <w:tc>
          <w:tcPr>
            <w:tcW w:w="1667" w:type="dxa"/>
          </w:tcPr>
          <w:p w:rsidR="00597DCF" w:rsidRPr="008F7810" w:rsidRDefault="00597DCF" w:rsidP="00BB2ADF">
            <w:pPr>
              <w:jc w:val="center"/>
              <w:rPr>
                <w:rFonts w:ascii="Times New Roman" w:hAnsi="Times New Roman" w:cs="Times New Roman"/>
              </w:rPr>
            </w:pPr>
            <w:r w:rsidRPr="008F7810">
              <w:rPr>
                <w:rFonts w:ascii="Times New Roman" w:hAnsi="Times New Roman" w:cs="Times New Roman"/>
              </w:rPr>
              <w:t>Ukupna cijena sa PDV-om</w:t>
            </w:r>
          </w:p>
          <w:p w:rsidR="00597DCF" w:rsidRPr="008F7810" w:rsidRDefault="00597DCF" w:rsidP="00BB2ADF">
            <w:pPr>
              <w:jc w:val="center"/>
              <w:rPr>
                <w:rFonts w:ascii="Times New Roman" w:hAnsi="Times New Roman" w:cs="Times New Roman"/>
              </w:rPr>
            </w:pPr>
            <w:r w:rsidRPr="008F7810">
              <w:rPr>
                <w:rFonts w:ascii="Times New Roman" w:hAnsi="Times New Roman" w:cs="Times New Roman"/>
              </w:rPr>
              <w:t>EUR</w:t>
            </w:r>
          </w:p>
        </w:tc>
      </w:tr>
      <w:tr w:rsidR="00597DCF" w:rsidRPr="00B045F2" w:rsidTr="00BB2ADF">
        <w:trPr>
          <w:trHeight w:val="410"/>
        </w:trPr>
        <w:tc>
          <w:tcPr>
            <w:tcW w:w="3510" w:type="dxa"/>
          </w:tcPr>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Zajednički spremnik na obračunskom mjestu (posude ili kontejner ovisno o dogovoru sa suvlasnicima zgrade)</w:t>
            </w:r>
          </w:p>
          <w:p w:rsidR="00597DCF" w:rsidRPr="008F7810" w:rsidRDefault="00597DCF" w:rsidP="00BB2ADF">
            <w:pPr>
              <w:jc w:val="both"/>
              <w:rPr>
                <w:rFonts w:ascii="Times New Roman" w:hAnsi="Times New Roman" w:cs="Times New Roman"/>
              </w:rPr>
            </w:pPr>
          </w:p>
        </w:tc>
        <w:tc>
          <w:tcPr>
            <w:tcW w:w="1985" w:type="dxa"/>
          </w:tcPr>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4,05</w:t>
            </w:r>
          </w:p>
        </w:tc>
        <w:tc>
          <w:tcPr>
            <w:tcW w:w="2126" w:type="dxa"/>
          </w:tcPr>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0,53</w:t>
            </w:r>
          </w:p>
          <w:p w:rsidR="00597DCF" w:rsidRPr="008F7810" w:rsidRDefault="00597DCF" w:rsidP="00BB2ADF">
            <w:pPr>
              <w:jc w:val="both"/>
              <w:rPr>
                <w:rFonts w:ascii="Times New Roman" w:hAnsi="Times New Roman" w:cs="Times New Roman"/>
              </w:rPr>
            </w:pPr>
          </w:p>
        </w:tc>
        <w:tc>
          <w:tcPr>
            <w:tcW w:w="1667" w:type="dxa"/>
          </w:tcPr>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 xml:space="preserve">  4,58 </w:t>
            </w:r>
          </w:p>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34,5</w:t>
            </w:r>
            <w:r>
              <w:rPr>
                <w:rFonts w:ascii="Times New Roman" w:hAnsi="Times New Roman" w:cs="Times New Roman"/>
              </w:rPr>
              <w:t>1</w:t>
            </w:r>
            <w:r w:rsidRPr="008F7810">
              <w:rPr>
                <w:rFonts w:ascii="Times New Roman" w:hAnsi="Times New Roman" w:cs="Times New Roman"/>
              </w:rPr>
              <w:t xml:space="preserve"> HRK</w:t>
            </w:r>
          </w:p>
          <w:p w:rsidR="00597DCF" w:rsidRPr="008F7810" w:rsidRDefault="00597DCF" w:rsidP="00BB2ADF">
            <w:pPr>
              <w:jc w:val="both"/>
              <w:rPr>
                <w:rFonts w:ascii="Times New Roman" w:hAnsi="Times New Roman" w:cs="Times New Roman"/>
              </w:rPr>
            </w:pPr>
            <w:r w:rsidRPr="008F7810">
              <w:rPr>
                <w:rFonts w:ascii="Times New Roman" w:hAnsi="Times New Roman" w:cs="Times New Roman"/>
              </w:rPr>
              <w:t xml:space="preserve">  </w:t>
            </w:r>
          </w:p>
        </w:tc>
      </w:tr>
    </w:tbl>
    <w:p w:rsidR="00246B4E" w:rsidRPr="00F00FFC" w:rsidRDefault="00246B4E" w:rsidP="00246B4E">
      <w:pPr>
        <w:spacing w:after="0" w:line="240" w:lineRule="auto"/>
        <w:rPr>
          <w:rFonts w:ascii="Times New Roman" w:eastAsia="Calibri" w:hAnsi="Times New Roman" w:cs="Times New Roman"/>
          <w:sz w:val="28"/>
          <w:szCs w:val="24"/>
          <w:lang w:eastAsia="hr-HR"/>
        </w:rPr>
      </w:pPr>
    </w:p>
    <w:p w:rsidR="00246B4E" w:rsidRDefault="00246B4E" w:rsidP="00246B4E">
      <w:pPr>
        <w:spacing w:after="0" w:line="240" w:lineRule="auto"/>
        <w:rPr>
          <w:rFonts w:ascii="Times New Roman" w:eastAsia="Calibri" w:hAnsi="Times New Roman" w:cs="Times New Roman"/>
          <w:szCs w:val="20"/>
          <w:lang w:eastAsia="hr-HR"/>
        </w:rPr>
      </w:pPr>
    </w:p>
    <w:p w:rsidR="00246B4E" w:rsidRPr="00F00FFC" w:rsidRDefault="00246B4E" w:rsidP="00246B4E">
      <w:pPr>
        <w:spacing w:after="0" w:line="240" w:lineRule="auto"/>
        <w:rPr>
          <w:rFonts w:ascii="Times New Roman" w:eastAsia="Calibri" w:hAnsi="Times New Roman" w:cs="Times New Roman"/>
          <w:szCs w:val="20"/>
          <w:lang w:eastAsia="hr-HR"/>
        </w:rPr>
      </w:pPr>
    </w:p>
    <w:p w:rsidR="00246B4E" w:rsidRPr="00F00FFC" w:rsidRDefault="00246B4E" w:rsidP="00246B4E">
      <w:pPr>
        <w:spacing w:after="0" w:line="240" w:lineRule="auto"/>
        <w:jc w:val="both"/>
        <w:rPr>
          <w:rFonts w:ascii="Times New Roman" w:eastAsia="Arial" w:hAnsi="Times New Roman" w:cs="Times New Roman"/>
          <w:szCs w:val="20"/>
          <w:lang w:eastAsia="hr-HR"/>
        </w:rPr>
      </w:pPr>
      <w:r w:rsidRPr="00F00FFC">
        <w:rPr>
          <w:rFonts w:ascii="Times New Roman" w:eastAsia="Calibri" w:hAnsi="Times New Roman" w:cs="Times New Roman"/>
          <w:szCs w:val="20"/>
          <w:lang w:eastAsia="hr-HR"/>
        </w:rPr>
        <w:t>4.</w:t>
      </w:r>
      <w:r w:rsidRPr="00F00FFC">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246B4E" w:rsidRPr="00F00FFC" w:rsidRDefault="00246B4E" w:rsidP="00246B4E">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246B4E" w:rsidRPr="00A43852" w:rsidTr="00A007D8">
        <w:trPr>
          <w:trHeight w:val="494"/>
        </w:trPr>
        <w:tc>
          <w:tcPr>
            <w:tcW w:w="3508" w:type="dxa"/>
          </w:tcPr>
          <w:p w:rsidR="00246B4E" w:rsidRPr="00A43852" w:rsidRDefault="00246B4E" w:rsidP="00A007D8">
            <w:pPr>
              <w:rPr>
                <w:sz w:val="24"/>
              </w:rPr>
            </w:pPr>
            <w:r w:rsidRPr="00A43852">
              <w:rPr>
                <w:sz w:val="24"/>
              </w:rPr>
              <w:t>Ugovoren spremnik MKO (miješani komunalni otpad)</w:t>
            </w:r>
          </w:p>
        </w:tc>
        <w:tc>
          <w:tcPr>
            <w:tcW w:w="1985" w:type="dxa"/>
          </w:tcPr>
          <w:p w:rsidR="00246B4E" w:rsidRPr="00A43852" w:rsidRDefault="00246B4E" w:rsidP="00A007D8">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246B4E" w:rsidRPr="00A43852" w:rsidRDefault="00246B4E" w:rsidP="00A007D8">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246B4E" w:rsidRPr="00A43852" w:rsidRDefault="00246B4E" w:rsidP="00A007D8">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246B4E" w:rsidRPr="00A43852" w:rsidTr="00A007D8">
        <w:tc>
          <w:tcPr>
            <w:tcW w:w="3508" w:type="dxa"/>
          </w:tcPr>
          <w:p w:rsidR="00246B4E" w:rsidRPr="00A43852" w:rsidRDefault="00246B4E" w:rsidP="00A007D8">
            <w:pPr>
              <w:rPr>
                <w:sz w:val="24"/>
              </w:rPr>
            </w:pPr>
            <w:r w:rsidRPr="00A43852">
              <w:rPr>
                <w:sz w:val="24"/>
              </w:rPr>
              <w:t>spremnik 80 litara/jedan odvoz</w:t>
            </w:r>
          </w:p>
        </w:tc>
        <w:tc>
          <w:tcPr>
            <w:tcW w:w="1985" w:type="dxa"/>
          </w:tcPr>
          <w:p w:rsidR="00246B4E" w:rsidRPr="00AD0F61" w:rsidRDefault="001F68CC" w:rsidP="00A007D8">
            <w:pPr>
              <w:rPr>
                <w:sz w:val="24"/>
              </w:rPr>
            </w:pPr>
            <w:r>
              <w:rPr>
                <w:sz w:val="24"/>
              </w:rPr>
              <w:t>0,8584</w:t>
            </w:r>
          </w:p>
        </w:tc>
        <w:tc>
          <w:tcPr>
            <w:tcW w:w="2126" w:type="dxa"/>
          </w:tcPr>
          <w:p w:rsidR="00246B4E" w:rsidRPr="00AD0F61" w:rsidRDefault="001F68CC" w:rsidP="00A007D8">
            <w:pPr>
              <w:rPr>
                <w:sz w:val="24"/>
              </w:rPr>
            </w:pPr>
            <w:r>
              <w:rPr>
                <w:sz w:val="24"/>
              </w:rPr>
              <w:t>0,1116</w:t>
            </w:r>
          </w:p>
        </w:tc>
        <w:tc>
          <w:tcPr>
            <w:tcW w:w="1667" w:type="dxa"/>
          </w:tcPr>
          <w:p w:rsidR="00246B4E" w:rsidRDefault="001F68CC" w:rsidP="00A007D8">
            <w:pPr>
              <w:rPr>
                <w:sz w:val="24"/>
              </w:rPr>
            </w:pPr>
            <w:r>
              <w:rPr>
                <w:sz w:val="24"/>
              </w:rPr>
              <w:t>0,97</w:t>
            </w:r>
          </w:p>
          <w:p w:rsidR="00246B4E" w:rsidRPr="00AD0F61" w:rsidRDefault="001F68CC" w:rsidP="00A007D8">
            <w:pPr>
              <w:rPr>
                <w:sz w:val="24"/>
              </w:rPr>
            </w:pPr>
            <w:r>
              <w:rPr>
                <w:sz w:val="24"/>
              </w:rPr>
              <w:t>(</w:t>
            </w:r>
            <w:r w:rsidR="00822FFA">
              <w:rPr>
                <w:sz w:val="24"/>
              </w:rPr>
              <w:t>7,31</w:t>
            </w:r>
            <w:r w:rsidR="00246B4E" w:rsidRPr="00AD0F61">
              <w:rPr>
                <w:sz w:val="24"/>
              </w:rPr>
              <w:t xml:space="preserve"> kn)</w:t>
            </w:r>
          </w:p>
        </w:tc>
      </w:tr>
      <w:tr w:rsidR="00246B4E" w:rsidRPr="00A43852" w:rsidTr="00A007D8">
        <w:tc>
          <w:tcPr>
            <w:tcW w:w="3508" w:type="dxa"/>
          </w:tcPr>
          <w:p w:rsidR="00246B4E" w:rsidRPr="00A43852" w:rsidRDefault="00246B4E" w:rsidP="00A007D8">
            <w:pPr>
              <w:rPr>
                <w:sz w:val="24"/>
              </w:rPr>
            </w:pPr>
            <w:r w:rsidRPr="00A43852">
              <w:rPr>
                <w:sz w:val="24"/>
              </w:rPr>
              <w:t>spremnik 120 litara/jedan odvoz</w:t>
            </w:r>
          </w:p>
        </w:tc>
        <w:tc>
          <w:tcPr>
            <w:tcW w:w="1985" w:type="dxa"/>
          </w:tcPr>
          <w:p w:rsidR="00246B4E" w:rsidRPr="00AD0F61" w:rsidRDefault="001F68CC" w:rsidP="00A007D8">
            <w:pPr>
              <w:rPr>
                <w:sz w:val="24"/>
              </w:rPr>
            </w:pPr>
            <w:r>
              <w:rPr>
                <w:sz w:val="24"/>
              </w:rPr>
              <w:t>1,2832</w:t>
            </w:r>
            <w:r w:rsidR="00246B4E" w:rsidRPr="00AD0F61">
              <w:rPr>
                <w:sz w:val="24"/>
              </w:rPr>
              <w:t xml:space="preserve"> </w:t>
            </w:r>
          </w:p>
        </w:tc>
        <w:tc>
          <w:tcPr>
            <w:tcW w:w="2126" w:type="dxa"/>
          </w:tcPr>
          <w:p w:rsidR="00246B4E" w:rsidRPr="00AD0F61" w:rsidRDefault="001F68CC" w:rsidP="00A007D8">
            <w:pPr>
              <w:rPr>
                <w:sz w:val="24"/>
              </w:rPr>
            </w:pPr>
            <w:r>
              <w:rPr>
                <w:sz w:val="24"/>
              </w:rPr>
              <w:t>0,1668</w:t>
            </w:r>
            <w:r w:rsidR="00246B4E" w:rsidRPr="00AD0F61">
              <w:rPr>
                <w:sz w:val="24"/>
              </w:rPr>
              <w:t xml:space="preserve"> </w:t>
            </w:r>
          </w:p>
        </w:tc>
        <w:tc>
          <w:tcPr>
            <w:tcW w:w="1667" w:type="dxa"/>
          </w:tcPr>
          <w:p w:rsidR="00246B4E" w:rsidRDefault="001F68CC" w:rsidP="00A007D8">
            <w:pPr>
              <w:rPr>
                <w:sz w:val="24"/>
              </w:rPr>
            </w:pPr>
            <w:r>
              <w:rPr>
                <w:sz w:val="24"/>
              </w:rPr>
              <w:t>1,45</w:t>
            </w:r>
            <w:r w:rsidR="00246B4E" w:rsidRPr="00AD0F61">
              <w:rPr>
                <w:sz w:val="24"/>
              </w:rPr>
              <w:t xml:space="preserve"> </w:t>
            </w:r>
          </w:p>
          <w:p w:rsidR="00246B4E" w:rsidRPr="00AD0F61" w:rsidRDefault="00246B4E" w:rsidP="001F68CC">
            <w:pPr>
              <w:rPr>
                <w:sz w:val="24"/>
              </w:rPr>
            </w:pPr>
            <w:r w:rsidRPr="00AD0F61">
              <w:rPr>
                <w:sz w:val="24"/>
              </w:rPr>
              <w:t>(</w:t>
            </w:r>
            <w:r w:rsidR="001F68CC">
              <w:rPr>
                <w:sz w:val="24"/>
              </w:rPr>
              <w:t>10,93</w:t>
            </w:r>
            <w:r w:rsidRPr="00AD0F61">
              <w:rPr>
                <w:sz w:val="24"/>
              </w:rPr>
              <w:t xml:space="preserve"> kn)</w:t>
            </w:r>
          </w:p>
        </w:tc>
      </w:tr>
      <w:tr w:rsidR="00246B4E" w:rsidRPr="00A43852" w:rsidTr="00A007D8">
        <w:tc>
          <w:tcPr>
            <w:tcW w:w="3508" w:type="dxa"/>
          </w:tcPr>
          <w:p w:rsidR="00246B4E" w:rsidRPr="00A43852" w:rsidRDefault="00246B4E" w:rsidP="00A007D8">
            <w:pPr>
              <w:rPr>
                <w:sz w:val="24"/>
              </w:rPr>
            </w:pPr>
            <w:r w:rsidRPr="00A43852">
              <w:rPr>
                <w:sz w:val="24"/>
              </w:rPr>
              <w:t>spremnik 240 litara/jedan odvoz</w:t>
            </w:r>
          </w:p>
        </w:tc>
        <w:tc>
          <w:tcPr>
            <w:tcW w:w="1985" w:type="dxa"/>
          </w:tcPr>
          <w:p w:rsidR="00246B4E" w:rsidRPr="00AD0F61" w:rsidRDefault="001F68CC" w:rsidP="00A007D8">
            <w:pPr>
              <w:rPr>
                <w:sz w:val="24"/>
              </w:rPr>
            </w:pPr>
            <w:r>
              <w:rPr>
                <w:sz w:val="24"/>
              </w:rPr>
              <w:t>2,5664</w:t>
            </w:r>
            <w:r w:rsidR="00246B4E" w:rsidRPr="00AD0F61">
              <w:rPr>
                <w:sz w:val="24"/>
              </w:rPr>
              <w:t xml:space="preserve"> </w:t>
            </w:r>
          </w:p>
        </w:tc>
        <w:tc>
          <w:tcPr>
            <w:tcW w:w="2126" w:type="dxa"/>
          </w:tcPr>
          <w:p w:rsidR="00246B4E" w:rsidRPr="00AD0F61" w:rsidRDefault="001F68CC" w:rsidP="00A007D8">
            <w:pPr>
              <w:rPr>
                <w:sz w:val="24"/>
              </w:rPr>
            </w:pPr>
            <w:r>
              <w:rPr>
                <w:sz w:val="24"/>
              </w:rPr>
              <w:t>0,3336</w:t>
            </w:r>
            <w:r w:rsidR="00246B4E" w:rsidRPr="00AD0F61">
              <w:rPr>
                <w:sz w:val="24"/>
              </w:rPr>
              <w:t xml:space="preserve"> </w:t>
            </w:r>
          </w:p>
          <w:p w:rsidR="00246B4E" w:rsidRPr="00AD0F61" w:rsidRDefault="00246B4E" w:rsidP="00A007D8">
            <w:pPr>
              <w:rPr>
                <w:sz w:val="24"/>
              </w:rPr>
            </w:pPr>
          </w:p>
        </w:tc>
        <w:tc>
          <w:tcPr>
            <w:tcW w:w="1667" w:type="dxa"/>
          </w:tcPr>
          <w:p w:rsidR="001F68CC" w:rsidRDefault="001F68CC" w:rsidP="001F68CC">
            <w:pPr>
              <w:rPr>
                <w:sz w:val="24"/>
              </w:rPr>
            </w:pPr>
            <w:r>
              <w:rPr>
                <w:sz w:val="24"/>
              </w:rPr>
              <w:t>2,90</w:t>
            </w:r>
          </w:p>
          <w:p w:rsidR="00246B4E" w:rsidRPr="00AD0F61" w:rsidRDefault="00246B4E" w:rsidP="001F68CC">
            <w:pPr>
              <w:rPr>
                <w:sz w:val="24"/>
              </w:rPr>
            </w:pPr>
            <w:r w:rsidRPr="00AD0F61">
              <w:rPr>
                <w:sz w:val="24"/>
              </w:rPr>
              <w:t>(</w:t>
            </w:r>
            <w:r w:rsidR="001F68CC">
              <w:rPr>
                <w:sz w:val="24"/>
              </w:rPr>
              <w:t>21,85</w:t>
            </w:r>
            <w:r w:rsidRPr="00AD0F61">
              <w:rPr>
                <w:sz w:val="24"/>
              </w:rPr>
              <w:t xml:space="preserve"> kn)</w:t>
            </w:r>
          </w:p>
        </w:tc>
      </w:tr>
    </w:tbl>
    <w:p w:rsidR="00246B4E" w:rsidRPr="00F00FFC" w:rsidRDefault="00246B4E" w:rsidP="00246B4E">
      <w:pPr>
        <w:spacing w:after="0" w:line="240" w:lineRule="auto"/>
        <w:rPr>
          <w:rFonts w:ascii="Times New Roman" w:eastAsia="Times New Roman" w:hAnsi="Times New Roman" w:cs="Times New Roman"/>
          <w:szCs w:val="20"/>
          <w:lang w:eastAsia="hr-HR"/>
        </w:rPr>
      </w:pPr>
    </w:p>
    <w:p w:rsidR="00246B4E" w:rsidRDefault="00246B4E" w:rsidP="00246B4E">
      <w:pPr>
        <w:spacing w:after="0" w:line="240" w:lineRule="auto"/>
        <w:rPr>
          <w:rFonts w:ascii="Times New Roman" w:eastAsia="Times New Roman" w:hAnsi="Times New Roman" w:cs="Times New Roman"/>
          <w:sz w:val="28"/>
          <w:szCs w:val="24"/>
          <w:lang w:eastAsia="hr-HR"/>
        </w:rPr>
      </w:pPr>
    </w:p>
    <w:p w:rsidR="00246B4E" w:rsidRDefault="00246B4E" w:rsidP="00246B4E">
      <w:pPr>
        <w:spacing w:after="0" w:line="240" w:lineRule="auto"/>
        <w:rPr>
          <w:rFonts w:ascii="Times New Roman" w:eastAsia="Times New Roman" w:hAnsi="Times New Roman" w:cs="Times New Roman"/>
          <w:sz w:val="28"/>
          <w:szCs w:val="24"/>
          <w:lang w:eastAsia="hr-HR"/>
        </w:rPr>
      </w:pPr>
    </w:p>
    <w:p w:rsidR="00246B4E" w:rsidRDefault="00246B4E" w:rsidP="00246B4E">
      <w:pPr>
        <w:spacing w:after="0" w:line="240" w:lineRule="auto"/>
        <w:rPr>
          <w:rFonts w:ascii="Times New Roman" w:eastAsia="Times New Roman" w:hAnsi="Times New Roman" w:cs="Times New Roman"/>
          <w:sz w:val="28"/>
          <w:szCs w:val="24"/>
          <w:lang w:eastAsia="hr-HR"/>
        </w:rPr>
      </w:pPr>
    </w:p>
    <w:p w:rsidR="00246B4E" w:rsidRDefault="00246B4E" w:rsidP="00246B4E">
      <w:pPr>
        <w:spacing w:after="0" w:line="240" w:lineRule="auto"/>
        <w:rPr>
          <w:rFonts w:ascii="Times New Roman" w:eastAsia="Times New Roman" w:hAnsi="Times New Roman" w:cs="Times New Roman"/>
          <w:sz w:val="28"/>
          <w:szCs w:val="24"/>
          <w:lang w:eastAsia="hr-HR"/>
        </w:rPr>
      </w:pPr>
    </w:p>
    <w:p w:rsidR="00246B4E" w:rsidRDefault="00246B4E" w:rsidP="00246B4E">
      <w:pPr>
        <w:spacing w:after="0" w:line="240" w:lineRule="auto"/>
        <w:rPr>
          <w:rFonts w:ascii="Times New Roman" w:eastAsia="Times New Roman" w:hAnsi="Times New Roman" w:cs="Times New Roman"/>
          <w:sz w:val="28"/>
          <w:szCs w:val="24"/>
          <w:lang w:eastAsia="hr-HR"/>
        </w:rPr>
      </w:pPr>
    </w:p>
    <w:p w:rsidR="00246B4E" w:rsidRDefault="00246B4E" w:rsidP="00246B4E">
      <w:pPr>
        <w:spacing w:after="0" w:line="240" w:lineRule="auto"/>
        <w:rPr>
          <w:rFonts w:ascii="Times New Roman" w:eastAsia="Times New Roman" w:hAnsi="Times New Roman" w:cs="Times New Roman"/>
          <w:sz w:val="28"/>
          <w:szCs w:val="24"/>
          <w:lang w:eastAsia="hr-HR"/>
        </w:rPr>
      </w:pPr>
    </w:p>
    <w:p w:rsidR="00246B4E" w:rsidRPr="00F00FFC" w:rsidRDefault="00246B4E" w:rsidP="00246B4E">
      <w:pPr>
        <w:spacing w:after="0" w:line="240" w:lineRule="auto"/>
        <w:rPr>
          <w:rFonts w:ascii="Times New Roman" w:eastAsia="Times New Roman" w:hAnsi="Times New Roman" w:cs="Times New Roman"/>
          <w:sz w:val="28"/>
          <w:szCs w:val="24"/>
          <w:lang w:eastAsia="hr-HR"/>
        </w:rPr>
      </w:pPr>
    </w:p>
    <w:p w:rsidR="00246B4E" w:rsidRPr="00F00FFC" w:rsidRDefault="00246B4E" w:rsidP="00246B4E">
      <w:pPr>
        <w:spacing w:after="0" w:line="240" w:lineRule="auto"/>
        <w:rPr>
          <w:rFonts w:ascii="Times New Roman" w:eastAsia="Times New Roman" w:hAnsi="Times New Roman" w:cs="Times New Roman"/>
          <w:sz w:val="28"/>
          <w:szCs w:val="24"/>
          <w:lang w:eastAsia="hr-HR"/>
        </w:rPr>
      </w:pPr>
    </w:p>
    <w:p w:rsidR="00246B4E" w:rsidRPr="00F00FFC" w:rsidRDefault="00246B4E" w:rsidP="00246B4E">
      <w:pPr>
        <w:spacing w:after="0" w:line="240" w:lineRule="auto"/>
        <w:jc w:val="both"/>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lastRenderedPageBreak/>
        <w:t>5</w:t>
      </w:r>
      <w:r w:rsidRPr="00F00FFC">
        <w:rPr>
          <w:rFonts w:ascii="Times New Roman" w:eastAsia="Times New Roman" w:hAnsi="Times New Roman" w:cs="Times New Roman"/>
          <w:szCs w:val="24"/>
          <w:lang w:eastAsia="hr-HR"/>
        </w:rPr>
        <w:t xml:space="preserve">. </w:t>
      </w:r>
      <w:r w:rsidRPr="00F00FFC">
        <w:rPr>
          <w:rFonts w:ascii="Times New Roman" w:eastAsia="Arial" w:hAnsi="Times New Roman" w:cs="Times New Roman"/>
          <w:szCs w:val="20"/>
          <w:lang w:eastAsia="hr-HR"/>
        </w:rPr>
        <w:t>CIJENA PREDAJE MIJEŠANOG KOMUNALNOG OTPADA ZA JEDAN ODVOZ PO IZABRANOM SPREMNIKU (VOLUMENU)  ZA KORISNIKA KATEGORIJA KOJI NIJE KUĆANSTVO:</w:t>
      </w:r>
    </w:p>
    <w:p w:rsidR="00246B4E" w:rsidRPr="00F00FFC" w:rsidRDefault="00246B4E" w:rsidP="00246B4E">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16"/>
        <w:gridCol w:w="1941"/>
        <w:gridCol w:w="1868"/>
        <w:gridCol w:w="1837"/>
      </w:tblGrid>
      <w:tr w:rsidR="00246B4E" w:rsidRPr="00B045F2" w:rsidTr="00A007D8">
        <w:trPr>
          <w:trHeight w:val="680"/>
        </w:trPr>
        <w:tc>
          <w:tcPr>
            <w:tcW w:w="3416" w:type="dxa"/>
          </w:tcPr>
          <w:p w:rsidR="00246B4E" w:rsidRPr="00B045F2" w:rsidRDefault="00246B4E" w:rsidP="00A007D8">
            <w:pPr>
              <w:rPr>
                <w:sz w:val="24"/>
              </w:rPr>
            </w:pPr>
            <w:r w:rsidRPr="00B045F2">
              <w:rPr>
                <w:sz w:val="24"/>
              </w:rPr>
              <w:t>Ugovoren spremnik MKO (miješani komunalni otpad)</w:t>
            </w:r>
          </w:p>
        </w:tc>
        <w:tc>
          <w:tcPr>
            <w:tcW w:w="1941" w:type="dxa"/>
          </w:tcPr>
          <w:p w:rsidR="00246B4E" w:rsidRPr="00B045F2" w:rsidRDefault="00246B4E" w:rsidP="00A007D8">
            <w:pPr>
              <w:rPr>
                <w:sz w:val="24"/>
              </w:rPr>
            </w:pPr>
            <w:r w:rsidRPr="00B045F2">
              <w:rPr>
                <w:sz w:val="24"/>
              </w:rPr>
              <w:t xml:space="preserve">Cijena bez PDV-a - </w:t>
            </w:r>
            <w:r>
              <w:rPr>
                <w:sz w:val="24"/>
              </w:rPr>
              <w:t>EUR</w:t>
            </w:r>
          </w:p>
        </w:tc>
        <w:tc>
          <w:tcPr>
            <w:tcW w:w="1868" w:type="dxa"/>
          </w:tcPr>
          <w:p w:rsidR="00246B4E" w:rsidRPr="00B045F2" w:rsidRDefault="00246B4E" w:rsidP="00A007D8">
            <w:pPr>
              <w:rPr>
                <w:sz w:val="24"/>
              </w:rPr>
            </w:pPr>
            <w:r w:rsidRPr="00B045F2">
              <w:rPr>
                <w:sz w:val="24"/>
              </w:rPr>
              <w:t xml:space="preserve">Iznos PDV-a (13%) - </w:t>
            </w:r>
            <w:r>
              <w:rPr>
                <w:sz w:val="24"/>
              </w:rPr>
              <w:t>EUR</w:t>
            </w:r>
          </w:p>
        </w:tc>
        <w:tc>
          <w:tcPr>
            <w:tcW w:w="1837" w:type="dxa"/>
          </w:tcPr>
          <w:p w:rsidR="00246B4E" w:rsidRPr="00B045F2" w:rsidRDefault="00246B4E" w:rsidP="00A007D8">
            <w:pPr>
              <w:rPr>
                <w:sz w:val="24"/>
              </w:rPr>
            </w:pPr>
            <w:r w:rsidRPr="00B045F2">
              <w:rPr>
                <w:sz w:val="24"/>
              </w:rPr>
              <w:t>Ukupna cijena s PDV-om -</w:t>
            </w:r>
            <w:r>
              <w:rPr>
                <w:sz w:val="24"/>
              </w:rPr>
              <w:t>EUR</w:t>
            </w:r>
          </w:p>
        </w:tc>
      </w:tr>
      <w:tr w:rsidR="000159ED" w:rsidRPr="00D95BE1" w:rsidTr="00A007D8">
        <w:trPr>
          <w:trHeight w:val="358"/>
        </w:trPr>
        <w:tc>
          <w:tcPr>
            <w:tcW w:w="3416" w:type="dxa"/>
          </w:tcPr>
          <w:p w:rsidR="000159ED" w:rsidRPr="00B045F2" w:rsidRDefault="000159ED" w:rsidP="00A007D8">
            <w:pPr>
              <w:rPr>
                <w:sz w:val="24"/>
              </w:rPr>
            </w:pPr>
            <w:r w:rsidRPr="00B045F2">
              <w:rPr>
                <w:sz w:val="24"/>
              </w:rPr>
              <w:t>spremnik 120 litara/jedan odvoz</w:t>
            </w:r>
          </w:p>
        </w:tc>
        <w:tc>
          <w:tcPr>
            <w:tcW w:w="1941" w:type="dxa"/>
          </w:tcPr>
          <w:p w:rsidR="000159ED" w:rsidRPr="00D95BE1" w:rsidRDefault="000159ED" w:rsidP="00A007D8">
            <w:pPr>
              <w:rPr>
                <w:sz w:val="24"/>
              </w:rPr>
            </w:pPr>
            <w:r>
              <w:rPr>
                <w:sz w:val="24"/>
              </w:rPr>
              <w:t>1,7699</w:t>
            </w:r>
          </w:p>
        </w:tc>
        <w:tc>
          <w:tcPr>
            <w:tcW w:w="1868" w:type="dxa"/>
          </w:tcPr>
          <w:p w:rsidR="000159ED" w:rsidRPr="00D95BE1" w:rsidRDefault="000159ED" w:rsidP="00A007D8">
            <w:pPr>
              <w:rPr>
                <w:sz w:val="24"/>
              </w:rPr>
            </w:pPr>
            <w:r>
              <w:rPr>
                <w:sz w:val="24"/>
              </w:rPr>
              <w:t>0,2301</w:t>
            </w:r>
          </w:p>
        </w:tc>
        <w:tc>
          <w:tcPr>
            <w:tcW w:w="1837" w:type="dxa"/>
          </w:tcPr>
          <w:p w:rsidR="000159ED" w:rsidRPr="00D95BE1" w:rsidRDefault="000159ED" w:rsidP="00A007D8">
            <w:pPr>
              <w:jc w:val="both"/>
              <w:rPr>
                <w:sz w:val="24"/>
              </w:rPr>
            </w:pPr>
            <w:r>
              <w:rPr>
                <w:sz w:val="24"/>
              </w:rPr>
              <w:t>2,00</w:t>
            </w:r>
          </w:p>
        </w:tc>
      </w:tr>
      <w:tr w:rsidR="000159ED" w:rsidRPr="00D95BE1" w:rsidTr="00A007D8">
        <w:trPr>
          <w:trHeight w:val="401"/>
        </w:trPr>
        <w:tc>
          <w:tcPr>
            <w:tcW w:w="3416" w:type="dxa"/>
          </w:tcPr>
          <w:p w:rsidR="000159ED" w:rsidRPr="00B045F2" w:rsidRDefault="000159ED" w:rsidP="00A007D8">
            <w:pPr>
              <w:rPr>
                <w:sz w:val="24"/>
              </w:rPr>
            </w:pPr>
            <w:r w:rsidRPr="00B045F2">
              <w:rPr>
                <w:sz w:val="24"/>
              </w:rPr>
              <w:t>spremnik 240 litara/jedan odvoz</w:t>
            </w:r>
          </w:p>
        </w:tc>
        <w:tc>
          <w:tcPr>
            <w:tcW w:w="1941" w:type="dxa"/>
          </w:tcPr>
          <w:p w:rsidR="000159ED" w:rsidRPr="00D95BE1" w:rsidRDefault="000159ED" w:rsidP="00A007D8">
            <w:pPr>
              <w:rPr>
                <w:sz w:val="24"/>
              </w:rPr>
            </w:pPr>
            <w:r>
              <w:rPr>
                <w:sz w:val="24"/>
              </w:rPr>
              <w:t>3,5398</w:t>
            </w:r>
          </w:p>
        </w:tc>
        <w:tc>
          <w:tcPr>
            <w:tcW w:w="1868" w:type="dxa"/>
          </w:tcPr>
          <w:p w:rsidR="000159ED" w:rsidRPr="00D95BE1" w:rsidRDefault="000159ED" w:rsidP="00A007D8">
            <w:pPr>
              <w:rPr>
                <w:sz w:val="24"/>
              </w:rPr>
            </w:pPr>
            <w:r>
              <w:rPr>
                <w:sz w:val="24"/>
              </w:rPr>
              <w:t>0,4602</w:t>
            </w:r>
          </w:p>
        </w:tc>
        <w:tc>
          <w:tcPr>
            <w:tcW w:w="1837" w:type="dxa"/>
          </w:tcPr>
          <w:p w:rsidR="000159ED" w:rsidRPr="00D95BE1" w:rsidRDefault="000159ED" w:rsidP="00A007D8">
            <w:pPr>
              <w:jc w:val="both"/>
              <w:rPr>
                <w:sz w:val="24"/>
              </w:rPr>
            </w:pPr>
            <w:r>
              <w:rPr>
                <w:sz w:val="24"/>
              </w:rPr>
              <w:t>4,00</w:t>
            </w:r>
          </w:p>
        </w:tc>
      </w:tr>
      <w:tr w:rsidR="000159ED" w:rsidRPr="00D95BE1" w:rsidTr="00A007D8">
        <w:trPr>
          <w:trHeight w:val="401"/>
        </w:trPr>
        <w:tc>
          <w:tcPr>
            <w:tcW w:w="3416" w:type="dxa"/>
          </w:tcPr>
          <w:p w:rsidR="000159ED" w:rsidRPr="00B045F2" w:rsidRDefault="000159ED" w:rsidP="00A007D8">
            <w:pPr>
              <w:rPr>
                <w:sz w:val="24"/>
              </w:rPr>
            </w:pPr>
            <w:r>
              <w:rPr>
                <w:sz w:val="24"/>
              </w:rPr>
              <w:t>spremnik 1100 litara/jedan odvoz</w:t>
            </w:r>
          </w:p>
        </w:tc>
        <w:tc>
          <w:tcPr>
            <w:tcW w:w="1941" w:type="dxa"/>
          </w:tcPr>
          <w:p w:rsidR="000159ED" w:rsidRPr="00D95BE1" w:rsidRDefault="000159ED" w:rsidP="00A007D8">
            <w:pPr>
              <w:rPr>
                <w:sz w:val="24"/>
              </w:rPr>
            </w:pPr>
            <w:r>
              <w:rPr>
                <w:sz w:val="24"/>
              </w:rPr>
              <w:t>16,2212</w:t>
            </w:r>
          </w:p>
        </w:tc>
        <w:tc>
          <w:tcPr>
            <w:tcW w:w="1868" w:type="dxa"/>
          </w:tcPr>
          <w:p w:rsidR="000159ED" w:rsidRPr="00D95BE1" w:rsidRDefault="000159ED" w:rsidP="00A007D8">
            <w:pPr>
              <w:rPr>
                <w:sz w:val="24"/>
              </w:rPr>
            </w:pPr>
            <w:r>
              <w:rPr>
                <w:sz w:val="24"/>
              </w:rPr>
              <w:t>2,1088</w:t>
            </w:r>
          </w:p>
        </w:tc>
        <w:tc>
          <w:tcPr>
            <w:tcW w:w="1837" w:type="dxa"/>
          </w:tcPr>
          <w:p w:rsidR="000159ED" w:rsidRPr="00D95BE1" w:rsidRDefault="000159ED" w:rsidP="00A007D8">
            <w:pPr>
              <w:jc w:val="both"/>
              <w:rPr>
                <w:sz w:val="24"/>
              </w:rPr>
            </w:pPr>
            <w:r>
              <w:rPr>
                <w:sz w:val="24"/>
              </w:rPr>
              <w:t>18,33</w:t>
            </w:r>
          </w:p>
        </w:tc>
      </w:tr>
    </w:tbl>
    <w:p w:rsidR="00246B4E" w:rsidRPr="00F00FFC" w:rsidRDefault="00246B4E" w:rsidP="00246B4E">
      <w:pPr>
        <w:spacing w:after="0" w:line="240" w:lineRule="auto"/>
        <w:rPr>
          <w:rFonts w:ascii="Times New Roman" w:eastAsia="Times New Roman" w:hAnsi="Times New Roman" w:cs="Times New Roman"/>
          <w:sz w:val="28"/>
          <w:szCs w:val="24"/>
          <w:lang w:eastAsia="hr-HR"/>
        </w:rPr>
      </w:pPr>
    </w:p>
    <w:p w:rsidR="00246B4E" w:rsidRPr="00F00FFC" w:rsidRDefault="00246B4E" w:rsidP="00246B4E">
      <w:pPr>
        <w:spacing w:after="0" w:line="240" w:lineRule="auto"/>
        <w:rPr>
          <w:rFonts w:ascii="Times New Roman" w:eastAsia="Times New Roman" w:hAnsi="Times New Roman" w:cs="Times New Roman"/>
          <w:sz w:val="28"/>
          <w:szCs w:val="24"/>
          <w:lang w:eastAsia="hr-HR"/>
        </w:rPr>
      </w:pPr>
    </w:p>
    <w:p w:rsidR="00246B4E" w:rsidRPr="00F00FFC" w:rsidRDefault="00246B4E" w:rsidP="00246B4E">
      <w:pPr>
        <w:spacing w:after="0" w:line="240" w:lineRule="auto"/>
        <w:rPr>
          <w:rFonts w:ascii="Times New Roman" w:eastAsia="Times New Roman" w:hAnsi="Times New Roman" w:cs="Times New Roman"/>
          <w:sz w:val="28"/>
          <w:szCs w:val="24"/>
          <w:lang w:eastAsia="hr-HR"/>
        </w:rPr>
      </w:pPr>
    </w:p>
    <w:p w:rsidR="00246B4E" w:rsidRDefault="00246B4E" w:rsidP="00246B4E">
      <w:pPr>
        <w:spacing w:after="0" w:line="0" w:lineRule="atLeast"/>
        <w:rPr>
          <w:rFonts w:ascii="Times New Roman" w:eastAsia="Arial" w:hAnsi="Times New Roman" w:cs="Times New Roman"/>
          <w:sz w:val="24"/>
          <w:szCs w:val="20"/>
          <w:lang w:eastAsia="hr-HR"/>
        </w:rPr>
      </w:pPr>
      <w:r>
        <w:rPr>
          <w:rFonts w:ascii="Times New Roman" w:eastAsia="Arial" w:hAnsi="Times New Roman" w:cs="Times New Roman"/>
          <w:sz w:val="24"/>
          <w:szCs w:val="20"/>
          <w:lang w:eastAsia="hr-HR"/>
        </w:rPr>
        <w:t>6</w:t>
      </w:r>
      <w:r w:rsidRPr="00AD6D6C">
        <w:rPr>
          <w:rFonts w:ascii="Times New Roman" w:eastAsia="Arial" w:hAnsi="Times New Roman" w:cs="Times New Roman"/>
          <w:sz w:val="24"/>
          <w:szCs w:val="20"/>
          <w:lang w:eastAsia="hr-HR"/>
        </w:rPr>
        <w:t xml:space="preserve">. OSTALE CIJENE USLUGE -  ZA KATEGORIJU KUĆANSTVA </w:t>
      </w:r>
      <w:r>
        <w:rPr>
          <w:rFonts w:ascii="Times New Roman" w:eastAsia="Arial" w:hAnsi="Times New Roman" w:cs="Times New Roman"/>
          <w:sz w:val="24"/>
          <w:szCs w:val="20"/>
          <w:lang w:eastAsia="hr-HR"/>
        </w:rPr>
        <w:t>I KORISNIKE KOJI NISU KUĆANSTVA:</w:t>
      </w:r>
    </w:p>
    <w:p w:rsidR="00246B4E" w:rsidRPr="00AD6D6C" w:rsidRDefault="00246B4E" w:rsidP="00246B4E">
      <w:pPr>
        <w:spacing w:after="0" w:line="0" w:lineRule="atLeast"/>
        <w:rPr>
          <w:rFonts w:ascii="Times New Roman" w:eastAsia="Arial" w:hAnsi="Times New Roman" w:cs="Times New Roman"/>
          <w:sz w:val="24"/>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246B4E" w:rsidRPr="00AD6D6C" w:rsidTr="00A007D8">
        <w:trPr>
          <w:trHeight w:val="487"/>
        </w:trPr>
        <w:tc>
          <w:tcPr>
            <w:tcW w:w="4233" w:type="dxa"/>
            <w:tcBorders>
              <w:top w:val="single" w:sz="4" w:space="0" w:color="auto"/>
              <w:left w:val="single" w:sz="4" w:space="0" w:color="auto"/>
              <w:bottom w:val="single" w:sz="4" w:space="0" w:color="auto"/>
              <w:right w:val="single" w:sz="4" w:space="0" w:color="auto"/>
            </w:tcBorders>
          </w:tcPr>
          <w:p w:rsidR="00246B4E" w:rsidRPr="00AD6D6C" w:rsidRDefault="00246B4E" w:rsidP="00A007D8">
            <w:pPr>
              <w:rPr>
                <w:sz w:val="22"/>
              </w:rPr>
            </w:pPr>
          </w:p>
          <w:p w:rsidR="00246B4E" w:rsidRPr="00AD6D6C" w:rsidRDefault="00246B4E" w:rsidP="00A007D8">
            <w:pPr>
              <w:rPr>
                <w:sz w:val="22"/>
              </w:rPr>
            </w:pPr>
            <w:r w:rsidRPr="00AD6D6C">
              <w:rPr>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rPr>
                <w:sz w:val="22"/>
              </w:rPr>
            </w:pPr>
            <w:r w:rsidRPr="00AD6D6C">
              <w:rPr>
                <w:sz w:val="22"/>
              </w:rP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rPr>
                <w:sz w:val="22"/>
              </w:rPr>
            </w:pPr>
            <w:r w:rsidRPr="00AD6D6C">
              <w:rPr>
                <w:sz w:val="22"/>
              </w:rPr>
              <w:t>Ukupna cijena s PDV-om - EUR</w:t>
            </w:r>
          </w:p>
        </w:tc>
      </w:tr>
      <w:tr w:rsidR="00246B4E" w:rsidRPr="00AD6D6C" w:rsidTr="00A007D8">
        <w:trPr>
          <w:trHeight w:val="415"/>
        </w:trPr>
        <w:tc>
          <w:tcPr>
            <w:tcW w:w="4233"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rPr>
                <w:sz w:val="22"/>
              </w:rPr>
            </w:pPr>
            <w:r w:rsidRPr="00AD6D6C">
              <w:rPr>
                <w:sz w:val="22"/>
              </w:rP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246B4E" w:rsidRPr="00AD6D6C" w:rsidRDefault="000159ED" w:rsidP="00A007D8">
            <w:pPr>
              <w:jc w:val="both"/>
              <w:rPr>
                <w:sz w:val="22"/>
              </w:rPr>
            </w:pPr>
            <w:r>
              <w:rPr>
                <w:sz w:val="22"/>
              </w:rPr>
              <w:t>1,7699</w:t>
            </w:r>
          </w:p>
        </w:tc>
        <w:tc>
          <w:tcPr>
            <w:tcW w:w="1658" w:type="dxa"/>
            <w:tcBorders>
              <w:top w:val="single" w:sz="4" w:space="0" w:color="auto"/>
              <w:left w:val="single" w:sz="4" w:space="0" w:color="auto"/>
              <w:bottom w:val="single" w:sz="4" w:space="0" w:color="auto"/>
              <w:right w:val="single" w:sz="4" w:space="0" w:color="auto"/>
            </w:tcBorders>
            <w:hideMark/>
          </w:tcPr>
          <w:p w:rsidR="00246B4E" w:rsidRPr="00AD6D6C" w:rsidRDefault="000159ED" w:rsidP="00A007D8">
            <w:pPr>
              <w:jc w:val="both"/>
              <w:rPr>
                <w:sz w:val="22"/>
              </w:rPr>
            </w:pPr>
            <w:r>
              <w:rPr>
                <w:sz w:val="22"/>
              </w:rPr>
              <w:t>0,2301</w:t>
            </w:r>
          </w:p>
        </w:tc>
        <w:tc>
          <w:tcPr>
            <w:tcW w:w="1793" w:type="dxa"/>
            <w:tcBorders>
              <w:top w:val="single" w:sz="4" w:space="0" w:color="auto"/>
              <w:left w:val="single" w:sz="4" w:space="0" w:color="auto"/>
              <w:bottom w:val="single" w:sz="4" w:space="0" w:color="auto"/>
              <w:right w:val="single" w:sz="4" w:space="0" w:color="auto"/>
            </w:tcBorders>
            <w:hideMark/>
          </w:tcPr>
          <w:p w:rsidR="00246B4E" w:rsidRPr="00AD6D6C" w:rsidRDefault="000159ED" w:rsidP="00A007D8">
            <w:pPr>
              <w:jc w:val="both"/>
              <w:rPr>
                <w:sz w:val="22"/>
              </w:rPr>
            </w:pPr>
            <w:r>
              <w:rPr>
                <w:sz w:val="22"/>
              </w:rPr>
              <w:t>2,00</w:t>
            </w:r>
            <w:r w:rsidR="00246B4E" w:rsidRPr="00AD6D6C">
              <w:rPr>
                <w:sz w:val="22"/>
              </w:rPr>
              <w:t xml:space="preserve"> </w:t>
            </w:r>
          </w:p>
          <w:p w:rsidR="00246B4E" w:rsidRPr="00AD6D6C" w:rsidRDefault="000159ED" w:rsidP="00A007D8">
            <w:pPr>
              <w:jc w:val="both"/>
              <w:rPr>
                <w:sz w:val="22"/>
              </w:rPr>
            </w:pPr>
            <w:r>
              <w:rPr>
                <w:sz w:val="22"/>
              </w:rPr>
              <w:t>15,07</w:t>
            </w:r>
            <w:r w:rsidR="00246B4E" w:rsidRPr="00AD6D6C">
              <w:rPr>
                <w:sz w:val="22"/>
              </w:rPr>
              <w:t xml:space="preserve"> HRK</w:t>
            </w:r>
          </w:p>
          <w:p w:rsidR="00246B4E" w:rsidRPr="00AD6D6C" w:rsidRDefault="00246B4E" w:rsidP="00A007D8">
            <w:pPr>
              <w:jc w:val="both"/>
              <w:rPr>
                <w:sz w:val="22"/>
              </w:rPr>
            </w:pPr>
            <w:r w:rsidRPr="00AD6D6C">
              <w:rPr>
                <w:sz w:val="22"/>
              </w:rPr>
              <w:t xml:space="preserve">  </w:t>
            </w:r>
          </w:p>
        </w:tc>
      </w:tr>
    </w:tbl>
    <w:p w:rsidR="00246B4E" w:rsidRPr="00AD6D6C" w:rsidRDefault="00246B4E" w:rsidP="00246B4E">
      <w:pPr>
        <w:jc w:val="both"/>
        <w:rPr>
          <w:rFonts w:ascii="Calibri" w:eastAsia="Calibri" w:hAnsi="Calibri" w:cs="Times New Roman"/>
          <w:sz w:val="24"/>
        </w:rPr>
      </w:pPr>
      <w:r w:rsidRPr="00AD6D6C">
        <w:rPr>
          <w:rFonts w:ascii="Calibri" w:eastAsia="Calibri" w:hAnsi="Calibri" w:cs="Times New Roman"/>
          <w:sz w:val="24"/>
        </w:rPr>
        <w:t xml:space="preserve">  </w:t>
      </w:r>
    </w:p>
    <w:tbl>
      <w:tblPr>
        <w:tblStyle w:val="Reetkatablice1"/>
        <w:tblW w:w="0" w:type="auto"/>
        <w:tblLook w:val="04A0" w:firstRow="1" w:lastRow="0" w:firstColumn="1" w:lastColumn="0" w:noHBand="0" w:noVBand="1"/>
      </w:tblPr>
      <w:tblGrid>
        <w:gridCol w:w="4233"/>
        <w:gridCol w:w="1378"/>
        <w:gridCol w:w="1658"/>
        <w:gridCol w:w="1793"/>
      </w:tblGrid>
      <w:tr w:rsidR="00246B4E" w:rsidRPr="00AD6D6C" w:rsidTr="00A007D8">
        <w:trPr>
          <w:trHeight w:val="421"/>
        </w:trPr>
        <w:tc>
          <w:tcPr>
            <w:tcW w:w="4233"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rPr>
                <w:rFonts w:asciiTheme="minorHAnsi" w:eastAsiaTheme="minorHAnsi" w:hAnsiTheme="minorHAnsi" w:cstheme="minorBidi"/>
                <w:sz w:val="22"/>
              </w:rPr>
            </w:pPr>
            <w:r w:rsidRPr="00AD6D6C">
              <w:rPr>
                <w:rFonts w:ascii="Calibri" w:eastAsia="Calibri" w:hAnsi="Calibri"/>
                <w:sz w:val="22"/>
              </w:rPr>
              <w:t xml:space="preserve">  </w:t>
            </w:r>
            <w:r w:rsidRPr="00AD6D6C">
              <w:rPr>
                <w:rFonts w:asciiTheme="minorHAnsi" w:eastAsiaTheme="minorHAnsi" w:hAnsiTheme="minorHAnsi" w:cstheme="minorBidi"/>
                <w:sz w:val="22"/>
              </w:rPr>
              <w:t>OPIS USLUGE</w:t>
            </w:r>
          </w:p>
        </w:tc>
        <w:tc>
          <w:tcPr>
            <w:tcW w:w="1378"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jc w:val="both"/>
              <w:rPr>
                <w:sz w:val="22"/>
              </w:rPr>
            </w:pPr>
            <w:r w:rsidRPr="00AD6D6C">
              <w:rPr>
                <w:sz w:val="22"/>
              </w:rP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jc w:val="both"/>
              <w:rPr>
                <w:sz w:val="22"/>
              </w:rPr>
            </w:pPr>
            <w:r w:rsidRPr="00AD6D6C">
              <w:rPr>
                <w:sz w:val="22"/>
              </w:rP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246B4E" w:rsidRPr="00AD6D6C" w:rsidRDefault="00246B4E" w:rsidP="00A007D8">
            <w:pPr>
              <w:jc w:val="both"/>
              <w:rPr>
                <w:sz w:val="22"/>
              </w:rPr>
            </w:pPr>
            <w:r w:rsidRPr="00AD6D6C">
              <w:rPr>
                <w:sz w:val="22"/>
              </w:rPr>
              <w:t>Ukupna cijena s PDV-om - EUR</w:t>
            </w:r>
          </w:p>
        </w:tc>
      </w:tr>
      <w:tr w:rsidR="000159ED" w:rsidRPr="00AD6D6C" w:rsidTr="00A007D8">
        <w:trPr>
          <w:trHeight w:val="421"/>
        </w:trPr>
        <w:tc>
          <w:tcPr>
            <w:tcW w:w="4233" w:type="dxa"/>
            <w:tcBorders>
              <w:top w:val="single" w:sz="4" w:space="0" w:color="auto"/>
              <w:left w:val="single" w:sz="4" w:space="0" w:color="auto"/>
              <w:bottom w:val="single" w:sz="4" w:space="0" w:color="auto"/>
              <w:right w:val="single" w:sz="4" w:space="0" w:color="auto"/>
            </w:tcBorders>
            <w:hideMark/>
          </w:tcPr>
          <w:p w:rsidR="000159ED" w:rsidRPr="00AD6D6C" w:rsidRDefault="000159ED" w:rsidP="00A007D8">
            <w:pPr>
              <w:rPr>
                <w:sz w:val="22"/>
              </w:rPr>
            </w:pPr>
            <w:r w:rsidRPr="00AD6D6C">
              <w:rPr>
                <w:sz w:val="22"/>
              </w:rP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0159ED" w:rsidRPr="000159ED" w:rsidRDefault="000159ED" w:rsidP="00A007D8">
            <w:pPr>
              <w:jc w:val="both"/>
              <w:rPr>
                <w:sz w:val="22"/>
              </w:rPr>
            </w:pPr>
            <w:r w:rsidRPr="000159ED">
              <w:rPr>
                <w:sz w:val="22"/>
              </w:rPr>
              <w:t>12,00</w:t>
            </w:r>
          </w:p>
        </w:tc>
        <w:tc>
          <w:tcPr>
            <w:tcW w:w="1658" w:type="dxa"/>
            <w:tcBorders>
              <w:top w:val="single" w:sz="4" w:space="0" w:color="auto"/>
              <w:left w:val="single" w:sz="4" w:space="0" w:color="auto"/>
              <w:bottom w:val="single" w:sz="4" w:space="0" w:color="auto"/>
              <w:right w:val="single" w:sz="4" w:space="0" w:color="auto"/>
            </w:tcBorders>
            <w:hideMark/>
          </w:tcPr>
          <w:p w:rsidR="000159ED" w:rsidRPr="000159ED" w:rsidRDefault="000159ED" w:rsidP="00A007D8">
            <w:pPr>
              <w:jc w:val="both"/>
              <w:rPr>
                <w:sz w:val="22"/>
              </w:rPr>
            </w:pPr>
            <w:r w:rsidRPr="000159ED">
              <w:rPr>
                <w:sz w:val="22"/>
              </w:rPr>
              <w:t>3,00</w:t>
            </w:r>
          </w:p>
        </w:tc>
        <w:tc>
          <w:tcPr>
            <w:tcW w:w="1793" w:type="dxa"/>
            <w:tcBorders>
              <w:top w:val="single" w:sz="4" w:space="0" w:color="auto"/>
              <w:left w:val="single" w:sz="4" w:space="0" w:color="auto"/>
              <w:bottom w:val="single" w:sz="4" w:space="0" w:color="auto"/>
              <w:right w:val="single" w:sz="4" w:space="0" w:color="auto"/>
            </w:tcBorders>
            <w:hideMark/>
          </w:tcPr>
          <w:p w:rsidR="000159ED" w:rsidRPr="000159ED" w:rsidRDefault="000159ED" w:rsidP="00A007D8">
            <w:pPr>
              <w:jc w:val="both"/>
              <w:rPr>
                <w:sz w:val="22"/>
              </w:rPr>
            </w:pPr>
            <w:r w:rsidRPr="000159ED">
              <w:rPr>
                <w:sz w:val="22"/>
              </w:rPr>
              <w:t xml:space="preserve">  15,00</w:t>
            </w:r>
          </w:p>
          <w:p w:rsidR="000159ED" w:rsidRPr="000159ED" w:rsidRDefault="000159ED" w:rsidP="00A007D8">
            <w:pPr>
              <w:jc w:val="both"/>
              <w:rPr>
                <w:sz w:val="22"/>
              </w:rPr>
            </w:pPr>
            <w:r w:rsidRPr="000159ED">
              <w:rPr>
                <w:sz w:val="22"/>
              </w:rPr>
              <w:t xml:space="preserve">  113,02 HRK</w:t>
            </w:r>
          </w:p>
          <w:p w:rsidR="000159ED" w:rsidRPr="000159ED" w:rsidRDefault="000159ED" w:rsidP="00A007D8">
            <w:pPr>
              <w:jc w:val="both"/>
              <w:rPr>
                <w:sz w:val="22"/>
              </w:rPr>
            </w:pPr>
            <w:r w:rsidRPr="000159ED">
              <w:rPr>
                <w:sz w:val="22"/>
              </w:rPr>
              <w:t xml:space="preserve">  </w:t>
            </w:r>
          </w:p>
        </w:tc>
      </w:tr>
    </w:tbl>
    <w:p w:rsidR="00246B4E" w:rsidRDefault="00246B4E" w:rsidP="00246B4E">
      <w:pPr>
        <w:spacing w:after="0" w:line="240" w:lineRule="auto"/>
        <w:jc w:val="both"/>
        <w:rPr>
          <w:rFonts w:ascii="Times New Roman" w:eastAsia="Arial" w:hAnsi="Times New Roman" w:cs="Times New Roman"/>
          <w:b/>
          <w:lang w:eastAsia="hr-HR"/>
        </w:rPr>
      </w:pPr>
    </w:p>
    <w:p w:rsidR="00246B4E" w:rsidRPr="00F00FFC" w:rsidRDefault="00246B4E" w:rsidP="00246B4E">
      <w:pPr>
        <w:rPr>
          <w:rFonts w:ascii="Calibri" w:eastAsia="Calibri" w:hAnsi="Calibri" w:cs="Times New Roman"/>
        </w:rPr>
      </w:pPr>
    </w:p>
    <w:p w:rsidR="00246B4E" w:rsidRDefault="00246B4E" w:rsidP="00246B4E">
      <w:pPr>
        <w:rPr>
          <w:rFonts w:ascii="Calibri" w:eastAsia="Calibri" w:hAnsi="Calibri" w:cs="Times New Roman"/>
        </w:rPr>
      </w:pPr>
    </w:p>
    <w:p w:rsidR="00246B4E" w:rsidRDefault="00246B4E" w:rsidP="00246B4E">
      <w:pPr>
        <w:rPr>
          <w:rFonts w:ascii="Calibri" w:eastAsia="Calibri" w:hAnsi="Calibri" w:cs="Times New Roman"/>
        </w:rPr>
      </w:pPr>
    </w:p>
    <w:p w:rsidR="00246B4E" w:rsidRDefault="00246B4E" w:rsidP="00246B4E">
      <w:pPr>
        <w:rPr>
          <w:rFonts w:ascii="Calibri" w:eastAsia="Calibri" w:hAnsi="Calibri" w:cs="Times New Roman"/>
        </w:rPr>
      </w:pPr>
    </w:p>
    <w:p w:rsidR="00246B4E" w:rsidRDefault="00246B4E" w:rsidP="00246B4E">
      <w:pPr>
        <w:rPr>
          <w:rFonts w:ascii="Calibri" w:eastAsia="Calibri" w:hAnsi="Calibri" w:cs="Times New Roman"/>
        </w:rPr>
      </w:pPr>
    </w:p>
    <w:p w:rsidR="00A007D8" w:rsidRDefault="00A007D8" w:rsidP="00246B4E">
      <w:pPr>
        <w:rPr>
          <w:rFonts w:ascii="Calibri" w:eastAsia="Calibri" w:hAnsi="Calibri" w:cs="Times New Roman"/>
        </w:rPr>
      </w:pPr>
    </w:p>
    <w:p w:rsidR="00A007D8" w:rsidRDefault="00A007D8" w:rsidP="00246B4E">
      <w:pPr>
        <w:rPr>
          <w:rFonts w:ascii="Calibri" w:eastAsia="Calibri" w:hAnsi="Calibri" w:cs="Times New Roman"/>
        </w:rPr>
      </w:pPr>
    </w:p>
    <w:p w:rsidR="00246B4E" w:rsidRPr="00F00FFC" w:rsidRDefault="00246B4E" w:rsidP="00246B4E">
      <w:pPr>
        <w:rPr>
          <w:rFonts w:ascii="Calibri" w:eastAsia="Calibri" w:hAnsi="Calibri" w:cs="Times New Roman"/>
        </w:rPr>
      </w:pPr>
    </w:p>
    <w:p w:rsidR="00246B4E" w:rsidRPr="00F00FFC" w:rsidRDefault="00246B4E" w:rsidP="00246B4E">
      <w:pPr>
        <w:jc w:val="center"/>
        <w:rPr>
          <w:rFonts w:ascii="Calibri" w:eastAsia="Calibri" w:hAnsi="Calibri" w:cs="Times New Roman"/>
          <w:b/>
          <w:sz w:val="24"/>
        </w:rPr>
      </w:pPr>
      <w:r w:rsidRPr="00F00FFC">
        <w:rPr>
          <w:rFonts w:ascii="Calibri" w:eastAsia="Calibri" w:hAnsi="Calibri" w:cs="Times New Roman"/>
          <w:b/>
          <w:sz w:val="24"/>
        </w:rPr>
        <w:lastRenderedPageBreak/>
        <w:t>OBRAZLOŽENJE PREDLOŽENOG CJENIKA</w:t>
      </w:r>
    </w:p>
    <w:p w:rsidR="00246B4E" w:rsidRPr="00F00FFC" w:rsidRDefault="00246B4E" w:rsidP="00246B4E">
      <w:pPr>
        <w:jc w:val="center"/>
        <w:rPr>
          <w:rFonts w:ascii="Calibri" w:eastAsia="Calibri" w:hAnsi="Calibri" w:cs="Times New Roman"/>
          <w:b/>
          <w:sz w:val="24"/>
        </w:rPr>
      </w:pPr>
    </w:p>
    <w:p w:rsidR="00246B4E" w:rsidRPr="00F00FFC" w:rsidRDefault="00246B4E" w:rsidP="00246B4E">
      <w:pPr>
        <w:spacing w:after="0" w:line="240" w:lineRule="auto"/>
        <w:ind w:left="21" w:right="126" w:firstLine="687"/>
        <w:jc w:val="both"/>
        <w:rPr>
          <w:rFonts w:ascii="Times New Roman" w:eastAsia="Times New Roman" w:hAnsi="Times New Roman" w:cs="Times New Roman"/>
          <w:sz w:val="24"/>
          <w:szCs w:val="24"/>
          <w:u w:val="single"/>
          <w:lang w:eastAsia="hr-HR"/>
        </w:rPr>
      </w:pPr>
      <w:r w:rsidRPr="00F00FFC">
        <w:rPr>
          <w:rFonts w:ascii="Times New Roman" w:eastAsia="Times New Roman" w:hAnsi="Times New Roman" w:cs="Times New Roman"/>
          <w:sz w:val="24"/>
          <w:szCs w:val="24"/>
          <w:lang w:eastAsia="hr-HR"/>
        </w:rPr>
        <w:t xml:space="preserve">Trgovačko društvo </w:t>
      </w:r>
      <w:proofErr w:type="spellStart"/>
      <w:r w:rsidRPr="00F00FFC">
        <w:rPr>
          <w:rFonts w:ascii="Times New Roman" w:eastAsia="Times New Roman" w:hAnsi="Times New Roman" w:cs="Times New Roman"/>
          <w:sz w:val="24"/>
          <w:szCs w:val="24"/>
          <w:lang w:eastAsia="hr-HR"/>
        </w:rPr>
        <w:t>Nevkoš</w:t>
      </w:r>
      <w:proofErr w:type="spellEnd"/>
      <w:r w:rsidRPr="00F00FFC">
        <w:rPr>
          <w:rFonts w:ascii="Times New Roman" w:eastAsia="Times New Roman" w:hAnsi="Times New Roman" w:cs="Times New Roman"/>
          <w:sz w:val="24"/>
          <w:szCs w:val="24"/>
          <w:lang w:eastAsia="hr-HR"/>
        </w:rPr>
        <w:t xml:space="preserve"> d.o.o. za uslužne djelatnosti iz Vinkovaca, Martina </w:t>
      </w:r>
      <w:proofErr w:type="spellStart"/>
      <w:r w:rsidRPr="00F00FFC">
        <w:rPr>
          <w:rFonts w:ascii="Times New Roman" w:eastAsia="Times New Roman" w:hAnsi="Times New Roman" w:cs="Times New Roman"/>
          <w:sz w:val="24"/>
          <w:szCs w:val="24"/>
          <w:lang w:eastAsia="hr-HR"/>
        </w:rPr>
        <w:t>Ballinga</w:t>
      </w:r>
      <w:proofErr w:type="spellEnd"/>
      <w:r w:rsidRPr="00F00FFC">
        <w:rPr>
          <w:rFonts w:ascii="Times New Roman" w:eastAsia="Times New Roman" w:hAnsi="Times New Roman" w:cs="Times New Roman"/>
          <w:sz w:val="24"/>
          <w:szCs w:val="24"/>
          <w:lang w:eastAsia="hr-HR"/>
        </w:rPr>
        <w:t xml:space="preserve"> 5, OIB 76173743169, koncesionar je za obavljanje javne usluge prikupljanja, odvoza i zbrinjavanja miješanog komunalnog otpada i biorazgradivog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Zbog naprijed navedenog, predlažemo novi Cjenik na suglasnost načelniku s datumom primjene od 1. </w:t>
      </w:r>
      <w:r>
        <w:rPr>
          <w:rFonts w:ascii="Times New Roman" w:eastAsia="Times New Roman" w:hAnsi="Times New Roman" w:cs="Times New Roman"/>
          <w:sz w:val="24"/>
          <w:szCs w:val="24"/>
          <w:lang w:eastAsia="hr-HR"/>
        </w:rPr>
        <w:t>travnja</w:t>
      </w:r>
      <w:r w:rsidRPr="00F00FFC">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3</w:t>
      </w:r>
      <w:r w:rsidRPr="00F00FFC">
        <w:rPr>
          <w:rFonts w:ascii="Times New Roman" w:eastAsia="Times New Roman" w:hAnsi="Times New Roman" w:cs="Times New Roman"/>
          <w:sz w:val="24"/>
          <w:szCs w:val="24"/>
          <w:lang w:eastAsia="hr-HR"/>
        </w:rPr>
        <w:t>. g..</w:t>
      </w:r>
    </w:p>
    <w:p w:rsidR="00246B4E" w:rsidRPr="00F00FFC" w:rsidRDefault="00246B4E" w:rsidP="00246B4E">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246B4E" w:rsidRPr="00F00FFC" w:rsidRDefault="00246B4E" w:rsidP="00246B4E">
      <w:pPr>
        <w:spacing w:after="0" w:line="240" w:lineRule="auto"/>
        <w:ind w:left="21" w:right="126"/>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246B4E" w:rsidRPr="00F00FFC" w:rsidRDefault="00246B4E" w:rsidP="00246B4E">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Slijedom navedenog, davatelj koncesije Općina </w:t>
      </w:r>
      <w:r w:rsidRPr="00506BAD">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 Općinsko vijeće je donijelo Odluku o načinu pružanja javne usluge javne usluge sakupljanja komunalnog otpada na području Općine </w:t>
      </w:r>
      <w:r w:rsidRPr="00506BAD">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na sjednici O</w:t>
      </w:r>
      <w:r>
        <w:rPr>
          <w:rFonts w:ascii="Times New Roman" w:eastAsia="Times New Roman" w:hAnsi="Times New Roman" w:cs="Times New Roman"/>
          <w:sz w:val="24"/>
          <w:szCs w:val="24"/>
          <w:lang w:eastAsia="hr-HR"/>
        </w:rPr>
        <w:t>pćinskog vijeća održanoj dana 28</w:t>
      </w:r>
      <w:r w:rsidRPr="00F00FFC">
        <w:rPr>
          <w:rFonts w:ascii="Times New Roman" w:eastAsia="Times New Roman" w:hAnsi="Times New Roman" w:cs="Times New Roman"/>
          <w:sz w:val="24"/>
          <w:szCs w:val="24"/>
          <w:lang w:eastAsia="hr-HR"/>
        </w:rPr>
        <w:t xml:space="preserve">. siječnja 2022. g., </w:t>
      </w:r>
      <w:r w:rsidRPr="00506BAD">
        <w:rPr>
          <w:rFonts w:ascii="Times New Roman" w:eastAsia="Times New Roman" w:hAnsi="Times New Roman" w:cs="Times New Roman"/>
          <w:sz w:val="24"/>
          <w:szCs w:val="24"/>
          <w:lang w:eastAsia="hr-HR"/>
        </w:rPr>
        <w:t>KLASA: 363-01/22-01/</w:t>
      </w:r>
      <w:proofErr w:type="spellStart"/>
      <w:r w:rsidRPr="00506BAD">
        <w:rPr>
          <w:rFonts w:ascii="Times New Roman" w:eastAsia="Times New Roman" w:hAnsi="Times New Roman" w:cs="Times New Roman"/>
          <w:sz w:val="24"/>
          <w:szCs w:val="24"/>
          <w:lang w:eastAsia="hr-HR"/>
        </w:rPr>
        <w:t>01</w:t>
      </w:r>
      <w:proofErr w:type="spellEnd"/>
      <w:r w:rsidRPr="00506BAD">
        <w:rPr>
          <w:rFonts w:ascii="Times New Roman" w:eastAsia="Times New Roman" w:hAnsi="Times New Roman" w:cs="Times New Roman"/>
          <w:sz w:val="24"/>
          <w:szCs w:val="24"/>
          <w:lang w:eastAsia="hr-HR"/>
        </w:rPr>
        <w:t>, URBROJ: 2188-07-20-02/03</w:t>
      </w:r>
      <w:r w:rsidRPr="00F00FFC">
        <w:rPr>
          <w:rFonts w:ascii="Times New Roman" w:eastAsia="Times New Roman" w:hAnsi="Times New Roman" w:cs="Times New Roman"/>
          <w:sz w:val="24"/>
          <w:szCs w:val="24"/>
          <w:lang w:eastAsia="hr-HR"/>
        </w:rPr>
        <w:t xml:space="preserve">, a kojom Odlukom je u čl. 16. određeno da cijena minimalne javne usluge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bude jedinstvena za sve korisnike usluga (Korisnici kategorije kućanstva i Korisnici kategorije koji nisu kućanstva-</w:t>
      </w:r>
      <w:r>
        <w:rPr>
          <w:rFonts w:ascii="Times New Roman" w:eastAsia="Times New Roman" w:hAnsi="Times New Roman" w:cs="Times New Roman"/>
          <w:sz w:val="24"/>
          <w:szCs w:val="24"/>
          <w:lang w:eastAsia="hr-HR"/>
        </w:rPr>
        <w:t>sve potkateg</w:t>
      </w:r>
      <w:r w:rsidR="009F308D">
        <w:rPr>
          <w:rFonts w:ascii="Times New Roman" w:eastAsia="Times New Roman" w:hAnsi="Times New Roman" w:cs="Times New Roman"/>
          <w:sz w:val="24"/>
          <w:szCs w:val="24"/>
          <w:lang w:eastAsia="hr-HR"/>
        </w:rPr>
        <w:t xml:space="preserve">orije), iznosi </w:t>
      </w:r>
      <w:r w:rsidR="00597DCF">
        <w:rPr>
          <w:rFonts w:ascii="Times New Roman" w:eastAsia="Times New Roman" w:hAnsi="Times New Roman" w:cs="Times New Roman"/>
          <w:sz w:val="24"/>
          <w:szCs w:val="24"/>
          <w:lang w:eastAsia="hr-HR"/>
        </w:rPr>
        <w:t>54,55</w:t>
      </w:r>
      <w:r w:rsidRPr="00F00FFC">
        <w:rPr>
          <w:rFonts w:ascii="Times New Roman" w:eastAsia="Times New Roman" w:hAnsi="Times New Roman" w:cs="Times New Roman"/>
          <w:sz w:val="24"/>
          <w:szCs w:val="24"/>
          <w:lang w:eastAsia="hr-HR"/>
        </w:rPr>
        <w:t xml:space="preserve"> kn</w:t>
      </w:r>
      <w:r w:rsidR="00597DCF">
        <w:rPr>
          <w:rFonts w:ascii="Times New Roman" w:eastAsia="Times New Roman" w:hAnsi="Times New Roman" w:cs="Times New Roman"/>
          <w:sz w:val="24"/>
          <w:szCs w:val="24"/>
          <w:lang w:eastAsia="hr-HR"/>
        </w:rPr>
        <w:t xml:space="preserve"> – 7,24 EUR-a</w:t>
      </w:r>
      <w:r>
        <w:rPr>
          <w:rFonts w:ascii="Times New Roman" w:eastAsia="Times New Roman" w:hAnsi="Times New Roman" w:cs="Times New Roman"/>
          <w:sz w:val="24"/>
          <w:szCs w:val="24"/>
          <w:lang w:eastAsia="hr-HR"/>
        </w:rPr>
        <w:t xml:space="preserve"> </w:t>
      </w:r>
      <w:r w:rsidRPr="00F00FFC">
        <w:rPr>
          <w:rFonts w:ascii="Times New Roman" w:eastAsia="Times New Roman" w:hAnsi="Times New Roman" w:cs="Times New Roman"/>
          <w:sz w:val="24"/>
          <w:szCs w:val="24"/>
          <w:lang w:eastAsia="hr-HR"/>
        </w:rPr>
        <w:t>uključuj</w:t>
      </w:r>
      <w:r>
        <w:rPr>
          <w:rFonts w:ascii="Times New Roman" w:eastAsia="Times New Roman" w:hAnsi="Times New Roman" w:cs="Times New Roman"/>
          <w:sz w:val="24"/>
          <w:szCs w:val="24"/>
          <w:lang w:eastAsia="hr-HR"/>
        </w:rPr>
        <w:t>ući PDV</w:t>
      </w:r>
      <w:r w:rsidRPr="00F00FFC">
        <w:rPr>
          <w:rFonts w:ascii="Times New Roman" w:eastAsia="Times New Roman" w:hAnsi="Times New Roman" w:cs="Times New Roman"/>
          <w:sz w:val="24"/>
          <w:szCs w:val="24"/>
          <w:lang w:eastAsia="hr-HR"/>
        </w:rPr>
        <w:t xml:space="preserve">, a sve sukladno činjenici da je sada određivanje visine iste u nadležnosti predstavničkog tijela – Općinskog vijeća i da ista cijena minimalne javne usluge mora biti sadržana u samoj Odluci o načinu pružanja javne usluge javne usluge sakupljanja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w:t>
      </w:r>
    </w:p>
    <w:p w:rsidR="00246B4E" w:rsidRPr="00F00FFC" w:rsidRDefault="00246B4E" w:rsidP="00246B4E">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Dakle, cijena minimalne javne usluge je određena čl. 16. Odluke Općinskog vijeća o načinu pružanja javne usluge javne usluge sakupljanja komunalnog otpada na području Općine </w:t>
      </w:r>
      <w:r>
        <w:rPr>
          <w:rFonts w:ascii="Times New Roman" w:eastAsia="Times New Roman" w:hAnsi="Times New Roman" w:cs="Times New Roman"/>
          <w:sz w:val="24"/>
          <w:szCs w:val="24"/>
          <w:lang w:eastAsia="hr-HR"/>
        </w:rPr>
        <w:t>Nuštar</w:t>
      </w:r>
      <w:r w:rsidRPr="00F00FFC">
        <w:rPr>
          <w:rFonts w:ascii="Times New Roman" w:eastAsia="Times New Roman" w:hAnsi="Times New Roman" w:cs="Times New Roman"/>
          <w:sz w:val="24"/>
          <w:szCs w:val="24"/>
          <w:lang w:eastAsia="hr-HR"/>
        </w:rPr>
        <w:t xml:space="preserve"> na sjednici Općinskog vijeća održanoj dana </w:t>
      </w:r>
      <w:r>
        <w:rPr>
          <w:rFonts w:ascii="Times New Roman" w:eastAsia="Times New Roman" w:hAnsi="Times New Roman" w:cs="Times New Roman"/>
          <w:sz w:val="24"/>
          <w:szCs w:val="24"/>
          <w:lang w:eastAsia="hr-HR"/>
        </w:rPr>
        <w:t>28</w:t>
      </w:r>
      <w:r w:rsidRPr="00F00FFC">
        <w:rPr>
          <w:rFonts w:ascii="Times New Roman" w:eastAsia="Times New Roman" w:hAnsi="Times New Roman" w:cs="Times New Roman"/>
          <w:sz w:val="24"/>
          <w:szCs w:val="24"/>
          <w:lang w:eastAsia="hr-HR"/>
        </w:rPr>
        <w:t xml:space="preserve">. siječnja 2022. g., </w:t>
      </w:r>
      <w:r w:rsidRPr="00506BAD">
        <w:rPr>
          <w:rFonts w:ascii="Times New Roman" w:eastAsia="Times New Roman" w:hAnsi="Times New Roman" w:cs="Times New Roman"/>
          <w:sz w:val="24"/>
          <w:szCs w:val="24"/>
          <w:lang w:eastAsia="hr-HR"/>
        </w:rPr>
        <w:t>KLASA: 363-01/22-01/</w:t>
      </w:r>
      <w:proofErr w:type="spellStart"/>
      <w:r w:rsidRPr="00506BAD">
        <w:rPr>
          <w:rFonts w:ascii="Times New Roman" w:eastAsia="Times New Roman" w:hAnsi="Times New Roman" w:cs="Times New Roman"/>
          <w:sz w:val="24"/>
          <w:szCs w:val="24"/>
          <w:lang w:eastAsia="hr-HR"/>
        </w:rPr>
        <w:t>01</w:t>
      </w:r>
      <w:proofErr w:type="spellEnd"/>
      <w:r w:rsidRPr="00506BAD">
        <w:rPr>
          <w:rFonts w:ascii="Times New Roman" w:eastAsia="Times New Roman" w:hAnsi="Times New Roman" w:cs="Times New Roman"/>
          <w:sz w:val="24"/>
          <w:szCs w:val="24"/>
          <w:lang w:eastAsia="hr-HR"/>
        </w:rPr>
        <w:t>, URBROJ: 2188-07-20-02/03</w:t>
      </w:r>
      <w:r w:rsidRPr="00F00FFC">
        <w:rPr>
          <w:rFonts w:ascii="Times New Roman" w:eastAsia="Times New Roman" w:hAnsi="Times New Roman" w:cs="Times New Roman"/>
          <w:sz w:val="24"/>
          <w:szCs w:val="24"/>
          <w:lang w:eastAsia="hr-HR"/>
        </w:rPr>
        <w:t xml:space="preserve"> i ista iznosi za s</w:t>
      </w:r>
      <w:r>
        <w:rPr>
          <w:rFonts w:ascii="Times New Roman" w:eastAsia="Times New Roman" w:hAnsi="Times New Roman" w:cs="Times New Roman"/>
          <w:sz w:val="24"/>
          <w:szCs w:val="24"/>
          <w:lang w:eastAsia="hr-HR"/>
        </w:rPr>
        <w:t xml:space="preserve">ve korisnike </w:t>
      </w:r>
      <w:r w:rsidR="00660318">
        <w:rPr>
          <w:rFonts w:ascii="Times New Roman" w:eastAsia="Times New Roman" w:hAnsi="Times New Roman" w:cs="Times New Roman"/>
          <w:sz w:val="24"/>
          <w:szCs w:val="24"/>
          <w:lang w:eastAsia="hr-HR"/>
        </w:rPr>
        <w:t>54,55</w:t>
      </w:r>
      <w:bookmarkStart w:id="0" w:name="_GoBack"/>
      <w:bookmarkEnd w:id="0"/>
      <w:r w:rsidR="00E5468C">
        <w:rPr>
          <w:rFonts w:ascii="Times New Roman" w:eastAsia="Times New Roman" w:hAnsi="Times New Roman" w:cs="Times New Roman"/>
          <w:sz w:val="24"/>
          <w:szCs w:val="24"/>
          <w:lang w:eastAsia="hr-HR"/>
        </w:rPr>
        <w:t xml:space="preserve"> kn</w:t>
      </w:r>
      <w:r w:rsidR="00597DCF">
        <w:rPr>
          <w:rFonts w:ascii="Times New Roman" w:eastAsia="Times New Roman" w:hAnsi="Times New Roman" w:cs="Times New Roman"/>
          <w:sz w:val="24"/>
          <w:szCs w:val="24"/>
          <w:lang w:eastAsia="hr-HR"/>
        </w:rPr>
        <w:t xml:space="preserve"> – 7,24 EUR-a</w:t>
      </w:r>
      <w:r w:rsidRPr="00715CAC">
        <w:rPr>
          <w:rFonts w:ascii="Times New Roman" w:eastAsia="Times New Roman" w:hAnsi="Times New Roman" w:cs="Times New Roman"/>
          <w:sz w:val="24"/>
          <w:szCs w:val="24"/>
          <w:lang w:eastAsia="hr-HR"/>
        </w:rPr>
        <w:t xml:space="preserve"> uključujući PDV</w:t>
      </w:r>
      <w:r w:rsidRPr="00F00FFC">
        <w:rPr>
          <w:rFonts w:ascii="Times New Roman" w:eastAsia="Times New Roman" w:hAnsi="Times New Roman" w:cs="Times New Roman"/>
          <w:sz w:val="24"/>
          <w:szCs w:val="24"/>
          <w:lang w:eastAsia="hr-HR"/>
        </w:rPr>
        <w:t xml:space="preserve">, dok su u čl. 17. iste Odluke određeni kriteriji za umanjenje cijene za korisnike usluge, kojima je propisano kako će cijena minimalne javne usluge za korisnike u kategoriji kućanstvo – potkategorija obiteljske kuće koji sami </w:t>
      </w:r>
      <w:proofErr w:type="spellStart"/>
      <w:r w:rsidRPr="00F00FFC">
        <w:rPr>
          <w:rFonts w:ascii="Times New Roman" w:eastAsia="Times New Roman" w:hAnsi="Times New Roman" w:cs="Times New Roman"/>
          <w:sz w:val="24"/>
          <w:szCs w:val="24"/>
          <w:lang w:eastAsia="hr-HR"/>
        </w:rPr>
        <w:t>kompostiraju</w:t>
      </w:r>
      <w:proofErr w:type="spellEnd"/>
      <w:r w:rsidRPr="00F00FFC">
        <w:rPr>
          <w:rFonts w:ascii="Times New Roman" w:eastAsia="Times New Roman" w:hAnsi="Times New Roman" w:cs="Times New Roman"/>
          <w:sz w:val="24"/>
          <w:szCs w:val="24"/>
          <w:lang w:eastAsia="hr-HR"/>
        </w:rPr>
        <w:t xml:space="preserve"> otpad biti umanjena za 20,00 kn</w:t>
      </w:r>
      <w:r w:rsidR="00597DCF">
        <w:rPr>
          <w:rFonts w:ascii="Times New Roman" w:eastAsia="Times New Roman" w:hAnsi="Times New Roman" w:cs="Times New Roman"/>
          <w:sz w:val="24"/>
          <w:szCs w:val="24"/>
          <w:lang w:eastAsia="hr-HR"/>
        </w:rPr>
        <w:t xml:space="preserve"> – 2,66 EUR-a</w:t>
      </w:r>
      <w:r w:rsidRPr="00F00FFC">
        <w:rPr>
          <w:rFonts w:ascii="Times New Roman" w:eastAsia="Times New Roman" w:hAnsi="Times New Roman" w:cs="Times New Roman"/>
          <w:sz w:val="24"/>
          <w:szCs w:val="24"/>
          <w:lang w:eastAsia="hr-HR"/>
        </w:rPr>
        <w:t xml:space="preserve"> mjesečno, a za korisnike u kategoriji kućanstvo – potkategorija etažni stanovi će biti umanjena za </w:t>
      </w:r>
      <w:r w:rsidR="00E5468C">
        <w:rPr>
          <w:rFonts w:ascii="Times New Roman" w:eastAsia="Times New Roman" w:hAnsi="Times New Roman" w:cs="Times New Roman"/>
          <w:sz w:val="24"/>
          <w:szCs w:val="24"/>
          <w:lang w:eastAsia="hr-HR"/>
        </w:rPr>
        <w:t>20,00 kn</w:t>
      </w:r>
      <w:r w:rsidR="00597DCF">
        <w:rPr>
          <w:rFonts w:ascii="Times New Roman" w:eastAsia="Times New Roman" w:hAnsi="Times New Roman" w:cs="Times New Roman"/>
          <w:sz w:val="24"/>
          <w:szCs w:val="24"/>
          <w:lang w:eastAsia="hr-HR"/>
        </w:rPr>
        <w:t xml:space="preserve"> – 2,66 EUR-a</w:t>
      </w:r>
      <w:r w:rsidRPr="00715CAC">
        <w:rPr>
          <w:rFonts w:ascii="Times New Roman" w:eastAsia="Times New Roman" w:hAnsi="Times New Roman" w:cs="Times New Roman"/>
          <w:sz w:val="24"/>
          <w:szCs w:val="24"/>
          <w:lang w:eastAsia="hr-HR"/>
        </w:rPr>
        <w:t xml:space="preserve"> mjesečno</w:t>
      </w:r>
      <w:r w:rsidRPr="00F00FFC">
        <w:rPr>
          <w:rFonts w:ascii="Times New Roman" w:eastAsia="Times New Roman" w:hAnsi="Times New Roman" w:cs="Times New Roman"/>
          <w:sz w:val="24"/>
          <w:szCs w:val="24"/>
          <w:lang w:eastAsia="hr-HR"/>
        </w:rPr>
        <w:t>.</w:t>
      </w:r>
    </w:p>
    <w:p w:rsidR="00246B4E" w:rsidRPr="00F00FFC" w:rsidRDefault="00246B4E" w:rsidP="00246B4E">
      <w:pPr>
        <w:spacing w:after="0" w:line="240" w:lineRule="auto"/>
        <w:ind w:left="21" w:right="126" w:firstLine="687"/>
        <w:jc w:val="both"/>
        <w:rPr>
          <w:rFonts w:ascii="Times New Roman" w:eastAsia="Times New Roman" w:hAnsi="Times New Roman" w:cs="Times New Roman"/>
          <w:sz w:val="24"/>
          <w:szCs w:val="24"/>
          <w:lang w:eastAsia="hr-HR"/>
        </w:rPr>
      </w:pPr>
      <w:r w:rsidRPr="00F00FFC">
        <w:rPr>
          <w:rFonts w:ascii="Times New Roman" w:eastAsia="Times New Roman" w:hAnsi="Times New Roman" w:cs="Times New Roman"/>
          <w:sz w:val="24"/>
          <w:szCs w:val="24"/>
          <w:lang w:eastAsia="hr-HR"/>
        </w:rPr>
        <w:t xml:space="preserve">Vrlo važno je za naglasiti kako mi kao pružatelj usluge predlažemo, sukladno posljednjim zakonskim izmjenama, na suglasnost načelniku samo varijabilni dio cijene iznosa računa, budući je cijena minimalne javne usluge određena čl. 16. Odluke Općinskog vijeća o načinu pružanja javne usluge sakupljanja komunalnog otpada na području Općine </w:t>
      </w:r>
      <w:r>
        <w:rPr>
          <w:rFonts w:ascii="Times New Roman" w:eastAsia="Times New Roman" w:hAnsi="Times New Roman" w:cs="Times New Roman"/>
          <w:sz w:val="24"/>
          <w:szCs w:val="24"/>
          <w:lang w:eastAsia="hr-HR"/>
        </w:rPr>
        <w:t>Nuštar od dana 28</w:t>
      </w:r>
      <w:r w:rsidRPr="00F00FFC">
        <w:rPr>
          <w:rFonts w:ascii="Times New Roman" w:eastAsia="Times New Roman" w:hAnsi="Times New Roman" w:cs="Times New Roman"/>
          <w:sz w:val="24"/>
          <w:szCs w:val="24"/>
          <w:lang w:eastAsia="hr-HR"/>
        </w:rPr>
        <w:t>. siječnja 2022. g., a kako je ranije navedeno.</w:t>
      </w:r>
    </w:p>
    <w:p w:rsidR="00246B4E" w:rsidRPr="001A2BF4" w:rsidRDefault="00246B4E" w:rsidP="00246B4E">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Na naš prijedlog cijene varijabilnog dijela računa tj. cijene pražnjenja spremnika, utjecale su sljedeći faktori, koji su se izmijenili od dana 1. svibnja 2022. g. tj. od dana od kada je na snazi aktualni cjenik:</w:t>
      </w:r>
    </w:p>
    <w:p w:rsidR="00153757" w:rsidRDefault="00153757" w:rsidP="00153757">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lastRenderedPageBreak/>
        <w:t xml:space="preserve">cijena deponiranja otpada od 1.1.2023. g. na ovlaštenoj deponiji u Vukovaru je porasla sa 200,00 kn/t (26,54 </w:t>
      </w:r>
      <w:proofErr w:type="spellStart"/>
      <w:r w:rsidRPr="001A2BF4">
        <w:rPr>
          <w:rFonts w:ascii="Times New Roman" w:hAnsi="Times New Roman" w:cs="Times New Roman"/>
          <w:sz w:val="24"/>
          <w:szCs w:val="24"/>
        </w:rPr>
        <w:t>eur</w:t>
      </w:r>
      <w:proofErr w:type="spellEnd"/>
      <w:r w:rsidRPr="001A2BF4">
        <w:rPr>
          <w:rFonts w:ascii="Times New Roman" w:hAnsi="Times New Roman" w:cs="Times New Roman"/>
          <w:sz w:val="24"/>
          <w:szCs w:val="24"/>
        </w:rPr>
        <w:t>/T) na sadašnjih 226,04 kn/t (30,00 EUR/t), što predstavlja povećanje od 13</w:t>
      </w:r>
      <w:r>
        <w:rPr>
          <w:rFonts w:ascii="Times New Roman" w:hAnsi="Times New Roman" w:cs="Times New Roman"/>
          <w:sz w:val="24"/>
          <w:szCs w:val="24"/>
        </w:rPr>
        <w:t>,02</w:t>
      </w:r>
      <w:r w:rsidRPr="001A2BF4">
        <w:rPr>
          <w:rFonts w:ascii="Times New Roman" w:hAnsi="Times New Roman" w:cs="Times New Roman"/>
          <w:sz w:val="24"/>
          <w:szCs w:val="24"/>
        </w:rPr>
        <w:t xml:space="preserve"> %,</w:t>
      </w:r>
    </w:p>
    <w:p w:rsidR="00153757" w:rsidRPr="001A2BF4" w:rsidRDefault="00153757" w:rsidP="00153757">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cijena goriva je tada iznosila po litri 1,72 EUR-a, sada iznosi 1,47 EUR-a, što predstavlja umanjenje cijene od 14,67 %,</w:t>
      </w:r>
    </w:p>
    <w:p w:rsidR="00153757" w:rsidRPr="001A2BF4" w:rsidRDefault="00153757" w:rsidP="00153757">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w:t>
      </w:r>
      <w:r>
        <w:rPr>
          <w:rFonts w:ascii="Times New Roman" w:hAnsi="Times New Roman" w:cs="Times New Roman"/>
          <w:sz w:val="24"/>
          <w:szCs w:val="24"/>
        </w:rPr>
        <w:t>o predstavlja povećanje od 12,52</w:t>
      </w:r>
      <w:r w:rsidRPr="001A2BF4">
        <w:rPr>
          <w:rFonts w:ascii="Times New Roman" w:hAnsi="Times New Roman" w:cs="Times New Roman"/>
          <w:sz w:val="24"/>
          <w:szCs w:val="24"/>
        </w:rPr>
        <w:t xml:space="preserve"> %,</w:t>
      </w:r>
    </w:p>
    <w:p w:rsidR="00153757" w:rsidRPr="00AB324C" w:rsidRDefault="00153757" w:rsidP="00153757">
      <w:pPr>
        <w:pStyle w:val="Odlomakpopisa"/>
        <w:numPr>
          <w:ilvl w:val="0"/>
          <w:numId w:val="1"/>
        </w:numPr>
        <w:rPr>
          <w:rFonts w:ascii="Times New Roman" w:hAnsi="Times New Roman" w:cs="Times New Roman"/>
          <w:sz w:val="24"/>
          <w:szCs w:val="24"/>
        </w:rPr>
      </w:pPr>
      <w:r w:rsidRPr="00AB324C">
        <w:rPr>
          <w:rFonts w:ascii="Times New Roman" w:hAnsi="Times New Roman" w:cs="Times New Roman"/>
          <w:sz w:val="24"/>
          <w:szCs w:val="24"/>
        </w:rPr>
        <w:t>poslovni rashodi su iznosili 1.095.778,62 EUR-a, sada iznose 1.255.564,14 kn EUR-a,</w:t>
      </w:r>
      <w:r w:rsidRPr="00AB324C">
        <w:t xml:space="preserve"> </w:t>
      </w:r>
      <w:r>
        <w:rPr>
          <w:rFonts w:ascii="Times New Roman" w:hAnsi="Times New Roman" w:cs="Times New Roman"/>
          <w:sz w:val="24"/>
          <w:szCs w:val="24"/>
        </w:rPr>
        <w:t>što predstavlja povećanje od 14,58</w:t>
      </w:r>
      <w:r w:rsidRPr="00AB32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832">
        <w:rPr>
          <w:rFonts w:ascii="Times New Roman" w:hAnsi="Times New Roman" w:cs="Times New Roman"/>
          <w:sz w:val="24"/>
          <w:szCs w:val="24"/>
        </w:rPr>
        <w:t xml:space="preserve">amortizacija, rezervni dijelovi za kamione, </w:t>
      </w:r>
      <w:r>
        <w:rPr>
          <w:rFonts w:ascii="Times New Roman" w:hAnsi="Times New Roman" w:cs="Times New Roman"/>
          <w:sz w:val="24"/>
          <w:szCs w:val="24"/>
        </w:rPr>
        <w:t xml:space="preserve">HTZ oprema, troškovi za režije - </w:t>
      </w:r>
      <w:r w:rsidRPr="00745832">
        <w:rPr>
          <w:rFonts w:ascii="Times New Roman" w:hAnsi="Times New Roman" w:cs="Times New Roman"/>
          <w:sz w:val="24"/>
          <w:szCs w:val="24"/>
        </w:rPr>
        <w:t>plin, struja i dr.</w:t>
      </w:r>
      <w:r>
        <w:rPr>
          <w:rFonts w:ascii="Times New Roman" w:hAnsi="Times New Roman" w:cs="Times New Roman"/>
          <w:sz w:val="24"/>
          <w:szCs w:val="24"/>
        </w:rPr>
        <w:t>)</w:t>
      </w:r>
      <w:r w:rsidR="009F308D">
        <w:rPr>
          <w:rFonts w:ascii="Times New Roman" w:hAnsi="Times New Roman" w:cs="Times New Roman"/>
          <w:sz w:val="24"/>
          <w:szCs w:val="24"/>
        </w:rPr>
        <w:t>,</w:t>
      </w:r>
      <w:r w:rsidRPr="00AB324C">
        <w:rPr>
          <w:rFonts w:ascii="Times New Roman" w:hAnsi="Times New Roman" w:cs="Times New Roman"/>
          <w:sz w:val="24"/>
          <w:szCs w:val="24"/>
        </w:rPr>
        <w:t xml:space="preserve"> </w:t>
      </w:r>
    </w:p>
    <w:p w:rsidR="00153757" w:rsidRPr="00AB324C" w:rsidRDefault="00153757" w:rsidP="00153757">
      <w:pPr>
        <w:pStyle w:val="Odlomakpopisa"/>
        <w:numPr>
          <w:ilvl w:val="0"/>
          <w:numId w:val="1"/>
        </w:numPr>
        <w:spacing w:after="0" w:line="240" w:lineRule="auto"/>
        <w:jc w:val="both"/>
        <w:rPr>
          <w:rFonts w:ascii="Times New Roman" w:hAnsi="Times New Roman" w:cs="Times New Roman"/>
          <w:sz w:val="24"/>
          <w:szCs w:val="24"/>
        </w:rPr>
      </w:pPr>
      <w:r w:rsidRPr="00AB324C">
        <w:rPr>
          <w:rFonts w:ascii="Times New Roman" w:hAnsi="Times New Roman" w:cs="Times New Roman"/>
          <w:sz w:val="24"/>
          <w:szCs w:val="24"/>
        </w:rPr>
        <w:t xml:space="preserve">financijski rashodi su iznosili 15.403,54 kn EUR-a, sada iznose 20.470,90 EUR-a, </w:t>
      </w:r>
      <w:r>
        <w:rPr>
          <w:rFonts w:ascii="Times New Roman" w:hAnsi="Times New Roman" w:cs="Times New Roman"/>
          <w:sz w:val="24"/>
          <w:szCs w:val="24"/>
        </w:rPr>
        <w:t>što predstavlja povećanje od 32,90</w:t>
      </w:r>
      <w:r w:rsidRPr="00AB324C">
        <w:rPr>
          <w:rFonts w:ascii="Times New Roman" w:hAnsi="Times New Roman" w:cs="Times New Roman"/>
          <w:sz w:val="24"/>
          <w:szCs w:val="24"/>
        </w:rPr>
        <w:t xml:space="preserve"> %,</w:t>
      </w:r>
    </w:p>
    <w:p w:rsidR="00153757" w:rsidRPr="00745832" w:rsidRDefault="00153757" w:rsidP="00153757">
      <w:pPr>
        <w:spacing w:after="0" w:line="240" w:lineRule="auto"/>
        <w:jc w:val="both"/>
        <w:rPr>
          <w:rFonts w:ascii="Times New Roman" w:hAnsi="Times New Roman" w:cs="Times New Roman"/>
          <w:sz w:val="24"/>
          <w:szCs w:val="24"/>
        </w:rPr>
      </w:pPr>
      <w:r w:rsidRPr="00745832">
        <w:rPr>
          <w:rFonts w:ascii="Times New Roman" w:hAnsi="Times New Roman" w:cs="Times New Roman"/>
          <w:sz w:val="24"/>
          <w:szCs w:val="24"/>
        </w:rPr>
        <w:t>što sve zajedno predstavlja ukupni rast cijena od 58,34 % u odnosu na razdoblje aktualnog cjenika.</w:t>
      </w:r>
    </w:p>
    <w:p w:rsidR="00246B4E" w:rsidRPr="001A2BF4" w:rsidRDefault="00246B4E" w:rsidP="00246B4E">
      <w:pPr>
        <w:spacing w:after="0" w:line="240" w:lineRule="auto"/>
        <w:jc w:val="both"/>
        <w:rPr>
          <w:rFonts w:ascii="Times New Roman" w:hAnsi="Times New Roman" w:cs="Times New Roman"/>
          <w:sz w:val="24"/>
          <w:szCs w:val="24"/>
        </w:rPr>
      </w:pPr>
    </w:p>
    <w:p w:rsidR="00246B4E" w:rsidRPr="001A2BF4" w:rsidRDefault="00246B4E" w:rsidP="00246B4E">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Pr="00432D9E">
        <w:rPr>
          <w:rFonts w:ascii="Times New Roman" w:hAnsi="Times New Roman" w:cs="Times New Roman"/>
          <w:sz w:val="24"/>
          <w:szCs w:val="24"/>
        </w:rPr>
        <w:t>6,90 kn (0,92 EUR-a) sa PDV-om</w:t>
      </w:r>
      <w:r w:rsidRPr="001A2BF4">
        <w:rPr>
          <w:rFonts w:ascii="Times New Roman" w:hAnsi="Times New Roman" w:cs="Times New Roman"/>
          <w:sz w:val="24"/>
          <w:szCs w:val="24"/>
        </w:rPr>
        <w:t xml:space="preserve"> za korisnike u kategoriji kućanstvo – potkategorija obiteljske </w:t>
      </w:r>
      <w:r w:rsidR="001F68CC">
        <w:rPr>
          <w:rFonts w:ascii="Times New Roman" w:hAnsi="Times New Roman" w:cs="Times New Roman"/>
          <w:sz w:val="24"/>
          <w:szCs w:val="24"/>
        </w:rPr>
        <w:t>kuće, jest novčani iznos od 1,45</w:t>
      </w:r>
      <w:r w:rsidRPr="001A2BF4">
        <w:rPr>
          <w:rFonts w:ascii="Times New Roman" w:hAnsi="Times New Roman" w:cs="Times New Roman"/>
          <w:sz w:val="24"/>
          <w:szCs w:val="24"/>
        </w:rPr>
        <w:t xml:space="preserve"> EUR-a (</w:t>
      </w:r>
      <w:r w:rsidR="001F68CC">
        <w:rPr>
          <w:rFonts w:ascii="Times New Roman" w:hAnsi="Times New Roman" w:cs="Times New Roman"/>
          <w:sz w:val="24"/>
          <w:szCs w:val="24"/>
        </w:rPr>
        <w:t>10,93</w:t>
      </w:r>
      <w:r w:rsidRPr="001A2BF4">
        <w:rPr>
          <w:rFonts w:ascii="Times New Roman" w:hAnsi="Times New Roman" w:cs="Times New Roman"/>
          <w:sz w:val="24"/>
          <w:szCs w:val="24"/>
        </w:rPr>
        <w:t xml:space="preserve"> kn) sa PDV-om. Novčane iznose za spremnike od 80 l i 240 l i dr. kategorije korisnika navodimo u tablici u ranijem dijelu teksta. </w:t>
      </w:r>
    </w:p>
    <w:p w:rsidR="00246B4E" w:rsidRPr="001A2BF4" w:rsidRDefault="00246B4E" w:rsidP="00246B4E">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 xml:space="preserve">Novi Cjenik bi se, nakon dobivanja prethodne suglasnosti izvršnog tijela-načelnika </w:t>
      </w:r>
      <w:r>
        <w:rPr>
          <w:rFonts w:ascii="Times New Roman" w:hAnsi="Times New Roman" w:cs="Times New Roman"/>
          <w:sz w:val="24"/>
          <w:szCs w:val="24"/>
        </w:rPr>
        <w:t>Općine Nuštar</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travnja </w:t>
      </w:r>
      <w:r w:rsidRPr="001A2BF4">
        <w:rPr>
          <w:rFonts w:ascii="Times New Roman" w:hAnsi="Times New Roman" w:cs="Times New Roman"/>
          <w:sz w:val="24"/>
          <w:szCs w:val="24"/>
        </w:rPr>
        <w:t>2023. g..</w:t>
      </w:r>
    </w:p>
    <w:p w:rsidR="00246B4E" w:rsidRPr="00F00FFC" w:rsidRDefault="00246B4E" w:rsidP="00246B4E">
      <w:pPr>
        <w:rPr>
          <w:rFonts w:ascii="Calibri" w:eastAsia="Calibri" w:hAnsi="Calibri" w:cs="Times New Roman"/>
          <w:b/>
          <w:sz w:val="24"/>
        </w:rPr>
      </w:pPr>
    </w:p>
    <w:p w:rsidR="00246B4E" w:rsidRDefault="00246B4E" w:rsidP="00246B4E"/>
    <w:p w:rsidR="00246B4E" w:rsidRDefault="00246B4E" w:rsidP="00246B4E"/>
    <w:p w:rsidR="00204260" w:rsidRDefault="00204260"/>
    <w:sectPr w:rsidR="002042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5E" w:rsidRDefault="00A52D5E">
      <w:pPr>
        <w:spacing w:after="0" w:line="240" w:lineRule="auto"/>
      </w:pPr>
      <w:r>
        <w:separator/>
      </w:r>
    </w:p>
  </w:endnote>
  <w:endnote w:type="continuationSeparator" w:id="0">
    <w:p w:rsidR="00A52D5E" w:rsidRDefault="00A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A007D8" w:rsidRDefault="00A007D8">
        <w:pPr>
          <w:pStyle w:val="Podnoje"/>
        </w:pPr>
        <w:r>
          <w:rPr>
            <w:noProof/>
            <w:lang w:eastAsia="hr-HR"/>
          </w:rPr>
          <mc:AlternateContent>
            <mc:Choice Requires="wps">
              <w:drawing>
                <wp:anchor distT="0" distB="0" distL="114300" distR="114300" simplePos="0" relativeHeight="251659264" behindDoc="0" locked="0" layoutInCell="1" allowOverlap="1" wp14:anchorId="1F0D6C02" wp14:editId="60F559F2">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007D8" w:rsidRDefault="00A007D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60318" w:rsidRPr="00660318">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A007D8" w:rsidRDefault="00A007D8">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60318" w:rsidRPr="00660318">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5E" w:rsidRDefault="00A52D5E">
      <w:pPr>
        <w:spacing w:after="0" w:line="240" w:lineRule="auto"/>
      </w:pPr>
      <w:r>
        <w:separator/>
      </w:r>
    </w:p>
  </w:footnote>
  <w:footnote w:type="continuationSeparator" w:id="0">
    <w:p w:rsidR="00A52D5E" w:rsidRDefault="00A52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D8" w:rsidRDefault="00A007D8" w:rsidP="00A007D8">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4ECBF171" wp14:editId="00FA63C1">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A007D8" w:rsidRPr="00C857CE" w:rsidRDefault="00A007D8" w:rsidP="00A007D8">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A007D8" w:rsidRPr="00C857CE" w:rsidRDefault="00A007D8" w:rsidP="00A007D8">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A007D8" w:rsidRDefault="00A007D8">
    <w:pPr>
      <w:pStyle w:val="Zaglavlje"/>
    </w:pPr>
  </w:p>
  <w:p w:rsidR="00A007D8" w:rsidRDefault="00A007D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4E"/>
    <w:rsid w:val="000159ED"/>
    <w:rsid w:val="000B6533"/>
    <w:rsid w:val="00153757"/>
    <w:rsid w:val="001F68CC"/>
    <w:rsid w:val="00204260"/>
    <w:rsid w:val="00246B4E"/>
    <w:rsid w:val="002A67C4"/>
    <w:rsid w:val="002D7D9B"/>
    <w:rsid w:val="00597DCF"/>
    <w:rsid w:val="00660318"/>
    <w:rsid w:val="007C4319"/>
    <w:rsid w:val="00822FFA"/>
    <w:rsid w:val="009F308D"/>
    <w:rsid w:val="00A007D8"/>
    <w:rsid w:val="00A52D5E"/>
    <w:rsid w:val="00E5468C"/>
    <w:rsid w:val="00FD2F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4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246B4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46B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6B4E"/>
  </w:style>
  <w:style w:type="paragraph" w:styleId="Podnoje">
    <w:name w:val="footer"/>
    <w:basedOn w:val="Normal"/>
    <w:link w:val="PodnojeChar"/>
    <w:uiPriority w:val="99"/>
    <w:unhideWhenUsed/>
    <w:rsid w:val="00246B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6B4E"/>
  </w:style>
  <w:style w:type="paragraph" w:customStyle="1" w:styleId="Standard">
    <w:name w:val="Standard"/>
    <w:rsid w:val="00246B4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246B4E"/>
    <w:pPr>
      <w:ind w:left="720"/>
      <w:contextualSpacing/>
    </w:pPr>
  </w:style>
  <w:style w:type="paragraph" w:styleId="Tekstbalonia">
    <w:name w:val="Balloon Text"/>
    <w:basedOn w:val="Normal"/>
    <w:link w:val="TekstbaloniaChar"/>
    <w:uiPriority w:val="99"/>
    <w:semiHidden/>
    <w:unhideWhenUsed/>
    <w:rsid w:val="00246B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6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246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246B4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246B4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46B4E"/>
  </w:style>
  <w:style w:type="paragraph" w:styleId="Podnoje">
    <w:name w:val="footer"/>
    <w:basedOn w:val="Normal"/>
    <w:link w:val="PodnojeChar"/>
    <w:uiPriority w:val="99"/>
    <w:unhideWhenUsed/>
    <w:rsid w:val="00246B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46B4E"/>
  </w:style>
  <w:style w:type="paragraph" w:customStyle="1" w:styleId="Standard">
    <w:name w:val="Standard"/>
    <w:rsid w:val="00246B4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246B4E"/>
    <w:pPr>
      <w:ind w:left="720"/>
      <w:contextualSpacing/>
    </w:pPr>
  </w:style>
  <w:style w:type="paragraph" w:styleId="Tekstbalonia">
    <w:name w:val="Balloon Text"/>
    <w:basedOn w:val="Normal"/>
    <w:link w:val="TekstbaloniaChar"/>
    <w:uiPriority w:val="99"/>
    <w:semiHidden/>
    <w:unhideWhenUsed/>
    <w:rsid w:val="00246B4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46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3</cp:revision>
  <cp:lastPrinted>2023-01-27T07:09:00Z</cp:lastPrinted>
  <dcterms:created xsi:type="dcterms:W3CDTF">2023-01-27T11:49:00Z</dcterms:created>
  <dcterms:modified xsi:type="dcterms:W3CDTF">2023-01-27T12:04:00Z</dcterms:modified>
</cp:coreProperties>
</file>