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67" w:rsidRPr="005773D2" w:rsidRDefault="00C36067" w:rsidP="00C36067">
      <w:pPr>
        <w:spacing w:after="0" w:line="240" w:lineRule="auto"/>
        <w:jc w:val="center"/>
        <w:rPr>
          <w:rFonts w:ascii="Calibri" w:eastAsia="Calibri" w:hAnsi="Calibri" w:cs="Times New Roman"/>
          <w:b/>
          <w:sz w:val="36"/>
          <w:szCs w:val="36"/>
          <w:u w:val="single"/>
        </w:rPr>
      </w:pPr>
      <w:r w:rsidRPr="005773D2">
        <w:rPr>
          <w:rFonts w:ascii="Calibri" w:eastAsia="Calibri" w:hAnsi="Calibri" w:cs="Times New Roman"/>
          <w:b/>
          <w:sz w:val="36"/>
          <w:szCs w:val="36"/>
          <w:u w:val="single"/>
        </w:rPr>
        <w:t>PRIJEDLOG   C J E N I K A  pružanja javne usluge sakupljanja</w:t>
      </w:r>
    </w:p>
    <w:p w:rsidR="00C36067" w:rsidRPr="005773D2" w:rsidRDefault="00C36067" w:rsidP="00C36067">
      <w:pPr>
        <w:spacing w:after="0" w:line="240" w:lineRule="auto"/>
        <w:jc w:val="center"/>
        <w:rPr>
          <w:rFonts w:ascii="Calibri" w:eastAsia="Calibri" w:hAnsi="Calibri" w:cs="Times New Roman"/>
          <w:b/>
          <w:sz w:val="36"/>
          <w:szCs w:val="36"/>
          <w:u w:val="single"/>
        </w:rPr>
      </w:pPr>
      <w:r w:rsidRPr="005773D2">
        <w:rPr>
          <w:rFonts w:ascii="Calibri" w:eastAsia="Calibri" w:hAnsi="Calibri" w:cs="Times New Roman"/>
          <w:b/>
          <w:sz w:val="36"/>
          <w:szCs w:val="36"/>
          <w:u w:val="single"/>
        </w:rPr>
        <w:t xml:space="preserve">komunalnog </w:t>
      </w:r>
      <w:r>
        <w:rPr>
          <w:rFonts w:ascii="Calibri" w:eastAsia="Calibri" w:hAnsi="Calibri" w:cs="Times New Roman"/>
          <w:b/>
          <w:sz w:val="36"/>
          <w:szCs w:val="36"/>
          <w:u w:val="single"/>
        </w:rPr>
        <w:t>otpada na području Općine Andrijaševci</w:t>
      </w:r>
      <w:r w:rsidRPr="005773D2">
        <w:rPr>
          <w:rFonts w:ascii="Calibri" w:eastAsia="Calibri" w:hAnsi="Calibri" w:cs="Times New Roman"/>
          <w:b/>
          <w:sz w:val="36"/>
          <w:szCs w:val="36"/>
          <w:u w:val="single"/>
        </w:rPr>
        <w:t xml:space="preserve"> s  datumom primjene od 01.07.2023. g. </w:t>
      </w:r>
    </w:p>
    <w:p w:rsidR="00C36067" w:rsidRDefault="00C36067" w:rsidP="00C36067">
      <w:pPr>
        <w:spacing w:after="0" w:line="240" w:lineRule="auto"/>
        <w:jc w:val="center"/>
        <w:rPr>
          <w:rFonts w:ascii="Calibri" w:eastAsia="Calibri" w:hAnsi="Calibri" w:cs="Arial"/>
          <w:b/>
          <w:sz w:val="28"/>
          <w:szCs w:val="28"/>
          <w:u w:val="single"/>
          <w:lang w:eastAsia="hr-HR"/>
        </w:rPr>
      </w:pPr>
      <w:r w:rsidRPr="005773D2">
        <w:rPr>
          <w:rFonts w:ascii="Calibri" w:eastAsia="Calibri" w:hAnsi="Calibri" w:cs="Times New Roman"/>
          <w:b/>
          <w:sz w:val="36"/>
          <w:szCs w:val="36"/>
          <w:u w:val="single"/>
        </w:rPr>
        <w:t>– Javno savjetovanje sukladno čl. 77. st.</w:t>
      </w:r>
      <w:r w:rsidR="00EA1A98">
        <w:rPr>
          <w:rFonts w:ascii="Calibri" w:eastAsia="Calibri" w:hAnsi="Calibri" w:cs="Times New Roman"/>
          <w:b/>
          <w:sz w:val="36"/>
          <w:szCs w:val="36"/>
          <w:u w:val="single"/>
        </w:rPr>
        <w:t xml:space="preserve"> 3.</w:t>
      </w:r>
      <w:bookmarkStart w:id="0" w:name="_GoBack"/>
      <w:bookmarkEnd w:id="0"/>
      <w:r w:rsidRPr="005773D2">
        <w:rPr>
          <w:rFonts w:ascii="Calibri" w:eastAsia="Calibri" w:hAnsi="Calibri" w:cs="Times New Roman"/>
          <w:b/>
          <w:sz w:val="36"/>
          <w:szCs w:val="36"/>
          <w:u w:val="single"/>
        </w:rPr>
        <w:t xml:space="preserve"> Zakona o gospodarenju otpadom (NN broj 84/21)</w:t>
      </w:r>
    </w:p>
    <w:p w:rsidR="00C36067" w:rsidRPr="00DD5EB3" w:rsidRDefault="00C36067" w:rsidP="00C36067">
      <w:pPr>
        <w:spacing w:after="0" w:line="240" w:lineRule="auto"/>
        <w:jc w:val="center"/>
        <w:rPr>
          <w:rFonts w:ascii="Calibri" w:eastAsia="Calibri" w:hAnsi="Calibri" w:cs="Arial"/>
          <w:b/>
          <w:sz w:val="28"/>
          <w:szCs w:val="28"/>
          <w:u w:val="single"/>
          <w:lang w:eastAsia="hr-HR"/>
        </w:rPr>
      </w:pPr>
    </w:p>
    <w:p w:rsidR="00C36067" w:rsidRPr="00DD5EB3" w:rsidRDefault="00C36067" w:rsidP="00C36067">
      <w:pPr>
        <w:spacing w:after="0" w:line="240" w:lineRule="auto"/>
        <w:ind w:left="720"/>
        <w:contextualSpacing/>
        <w:rPr>
          <w:rFonts w:ascii="Times New Roman" w:eastAsia="Arial" w:hAnsi="Times New Roman" w:cs="Times New Roman"/>
          <w:color w:val="231F20"/>
          <w:lang w:eastAsia="hr-HR"/>
        </w:rPr>
      </w:pPr>
    </w:p>
    <w:p w:rsidR="00C36067" w:rsidRPr="00577C63" w:rsidRDefault="00C36067" w:rsidP="00C36067">
      <w:pPr>
        <w:spacing w:after="0" w:line="240" w:lineRule="auto"/>
        <w:jc w:val="both"/>
        <w:rPr>
          <w:rFonts w:ascii="Times New Roman" w:eastAsia="Arial" w:hAnsi="Times New Roman" w:cs="Times New Roman"/>
          <w:color w:val="231F20"/>
          <w:lang w:eastAsia="hr-HR"/>
        </w:rPr>
      </w:pPr>
      <w:r w:rsidRPr="00577C63">
        <w:rPr>
          <w:rFonts w:ascii="Times New Roman" w:eastAsia="Arial" w:hAnsi="Times New Roman" w:cs="Times New Roman"/>
          <w:color w:val="231F20"/>
          <w:szCs w:val="20"/>
          <w:lang w:eastAsia="hr-HR"/>
        </w:rPr>
        <w:t>1.CIJENA OBVEZNE MINIMALNE JAVNE USLUGE (MJU) NA MJESEČNOJ BAZI (određena čl. 16. Odluke Općinskog vijeća o načinu pružanja javne usluge sakupljanja komunalnog otpada na području Općine Andrijaševci od dana 27. siječnja 2022. g., KLASA: 351-03/22-01/01, URBROJ: 2196-6-03-22-1</w:t>
      </w:r>
      <w:r w:rsidRPr="00577C63">
        <w:rPr>
          <w:rFonts w:ascii="Times New Roman" w:eastAsia="Calibri" w:hAnsi="Times New Roman" w:cs="Times New Roman"/>
          <w:lang w:eastAsia="hr-HR"/>
        </w:rPr>
        <w:t>)</w:t>
      </w:r>
      <w:r w:rsidRPr="00577C63">
        <w:rPr>
          <w:rFonts w:ascii="Times New Roman" w:eastAsia="Arial" w:hAnsi="Times New Roman" w:cs="Times New Roman"/>
          <w:color w:val="231F20"/>
          <w:szCs w:val="20"/>
          <w:lang w:eastAsia="hr-HR"/>
        </w:rPr>
        <w:t>:</w:t>
      </w:r>
    </w:p>
    <w:p w:rsidR="00C36067" w:rsidRPr="00577C63" w:rsidRDefault="00C36067" w:rsidP="00C36067">
      <w:pPr>
        <w:spacing w:after="0" w:line="240" w:lineRule="auto"/>
        <w:rPr>
          <w:rFonts w:ascii="Times New Roman" w:eastAsia="Arial" w:hAnsi="Times New Roman" w:cs="Times New Roman"/>
          <w:color w:val="231F20"/>
          <w:sz w:val="24"/>
          <w:szCs w:val="24"/>
          <w:lang w:eastAsia="hr-HR"/>
        </w:rPr>
      </w:pPr>
    </w:p>
    <w:tbl>
      <w:tblPr>
        <w:tblStyle w:val="Reetkatablice2"/>
        <w:tblW w:w="0" w:type="auto"/>
        <w:tblLook w:val="04A0" w:firstRow="1" w:lastRow="0" w:firstColumn="1" w:lastColumn="0" w:noHBand="0" w:noVBand="1"/>
      </w:tblPr>
      <w:tblGrid>
        <w:gridCol w:w="3399"/>
        <w:gridCol w:w="1967"/>
        <w:gridCol w:w="1859"/>
        <w:gridCol w:w="1837"/>
      </w:tblGrid>
      <w:tr w:rsidR="00C36067" w:rsidRPr="00577C63" w:rsidTr="00D706F4">
        <w:trPr>
          <w:trHeight w:val="487"/>
        </w:trPr>
        <w:tc>
          <w:tcPr>
            <w:tcW w:w="3399" w:type="dxa"/>
          </w:tcPr>
          <w:p w:rsidR="00C36067" w:rsidRPr="00577C63" w:rsidRDefault="00C36067" w:rsidP="00D706F4">
            <w:pPr>
              <w:jc w:val="both"/>
            </w:pPr>
            <w:r w:rsidRPr="00577C63">
              <w:t>Korisnici usluge - kategorija</w:t>
            </w:r>
          </w:p>
          <w:p w:rsidR="00C36067" w:rsidRPr="00577C63" w:rsidRDefault="00C36067" w:rsidP="00D706F4">
            <w:pPr>
              <w:jc w:val="both"/>
            </w:pPr>
          </w:p>
        </w:tc>
        <w:tc>
          <w:tcPr>
            <w:tcW w:w="1967" w:type="dxa"/>
          </w:tcPr>
          <w:p w:rsidR="00C36067" w:rsidRPr="00577C63" w:rsidRDefault="00C36067" w:rsidP="00D706F4">
            <w:pPr>
              <w:jc w:val="both"/>
            </w:pPr>
            <w:r w:rsidRPr="00577C63">
              <w:t>Cijena bez PDV-a</w:t>
            </w:r>
          </w:p>
          <w:p w:rsidR="00C36067" w:rsidRPr="00577C63" w:rsidRDefault="00C36067" w:rsidP="00D706F4">
            <w:pPr>
              <w:jc w:val="both"/>
            </w:pPr>
            <w:r w:rsidRPr="00577C63">
              <w:t>EUR</w:t>
            </w:r>
          </w:p>
        </w:tc>
        <w:tc>
          <w:tcPr>
            <w:tcW w:w="1859" w:type="dxa"/>
          </w:tcPr>
          <w:p w:rsidR="00C36067" w:rsidRPr="00577C63" w:rsidRDefault="00C36067" w:rsidP="00D706F4">
            <w:pPr>
              <w:jc w:val="both"/>
            </w:pPr>
            <w:r w:rsidRPr="00577C63">
              <w:t>Iznos PDV-a (13%)</w:t>
            </w:r>
          </w:p>
          <w:p w:rsidR="00C36067" w:rsidRPr="00577C63" w:rsidRDefault="00C36067" w:rsidP="00D706F4">
            <w:pPr>
              <w:jc w:val="both"/>
            </w:pPr>
            <w:r w:rsidRPr="00577C63">
              <w:t>EUR</w:t>
            </w:r>
          </w:p>
        </w:tc>
        <w:tc>
          <w:tcPr>
            <w:tcW w:w="1837" w:type="dxa"/>
          </w:tcPr>
          <w:p w:rsidR="00C36067" w:rsidRPr="00577C63" w:rsidRDefault="00C36067" w:rsidP="00D706F4">
            <w:pPr>
              <w:jc w:val="both"/>
            </w:pPr>
            <w:r w:rsidRPr="00577C63">
              <w:t>Ukupna cijena sa PDV-om - EUR</w:t>
            </w:r>
          </w:p>
        </w:tc>
      </w:tr>
      <w:tr w:rsidR="00C36067" w:rsidRPr="00577C63" w:rsidTr="00D706F4">
        <w:trPr>
          <w:trHeight w:val="410"/>
        </w:trPr>
        <w:tc>
          <w:tcPr>
            <w:tcW w:w="3399" w:type="dxa"/>
          </w:tcPr>
          <w:p w:rsidR="00C36067" w:rsidRPr="00577C63" w:rsidRDefault="00C36067" w:rsidP="00D706F4">
            <w:pPr>
              <w:jc w:val="both"/>
            </w:pPr>
            <w:r w:rsidRPr="00577C63">
              <w:t>Korisnici usluge kategorija kućanstvo</w:t>
            </w:r>
          </w:p>
          <w:p w:rsidR="00C36067" w:rsidRPr="00577C63" w:rsidRDefault="00C36067" w:rsidP="00D706F4">
            <w:pPr>
              <w:jc w:val="both"/>
            </w:pPr>
          </w:p>
        </w:tc>
        <w:tc>
          <w:tcPr>
            <w:tcW w:w="1967" w:type="dxa"/>
          </w:tcPr>
          <w:p w:rsidR="00C36067" w:rsidRPr="00577C63" w:rsidRDefault="00C36067" w:rsidP="00D706F4">
            <w:pPr>
              <w:tabs>
                <w:tab w:val="right" w:pos="1769"/>
              </w:tabs>
              <w:jc w:val="both"/>
              <w:rPr>
                <w:rFonts w:ascii="Calibri" w:eastAsia="Calibri" w:hAnsi="Calibri" w:cs="Times New Roman"/>
              </w:rPr>
            </w:pPr>
            <w:r w:rsidRPr="00577C63">
              <w:rPr>
                <w:rFonts w:ascii="Calibri" w:eastAsia="Calibri" w:hAnsi="Calibri" w:cs="Times New Roman"/>
              </w:rPr>
              <w:t>6,64</w:t>
            </w:r>
            <w:r w:rsidRPr="00577C63">
              <w:rPr>
                <w:rFonts w:ascii="Calibri" w:eastAsia="Calibri" w:hAnsi="Calibri" w:cs="Times New Roman"/>
              </w:rPr>
              <w:tab/>
            </w:r>
          </w:p>
        </w:tc>
        <w:tc>
          <w:tcPr>
            <w:tcW w:w="1859" w:type="dxa"/>
          </w:tcPr>
          <w:p w:rsidR="00C36067" w:rsidRPr="00577C63" w:rsidRDefault="00C36067" w:rsidP="00D706F4">
            <w:pPr>
              <w:jc w:val="both"/>
              <w:rPr>
                <w:rFonts w:ascii="Calibri" w:eastAsia="Calibri" w:hAnsi="Calibri" w:cs="Times New Roman"/>
              </w:rPr>
            </w:pPr>
            <w:r w:rsidRPr="00577C63">
              <w:rPr>
                <w:rFonts w:ascii="Calibri" w:eastAsia="Calibri" w:hAnsi="Calibri" w:cs="Times New Roman"/>
              </w:rPr>
              <w:t>0,86</w:t>
            </w:r>
          </w:p>
        </w:tc>
        <w:tc>
          <w:tcPr>
            <w:tcW w:w="1837" w:type="dxa"/>
          </w:tcPr>
          <w:p w:rsidR="00C36067" w:rsidRPr="00577C63" w:rsidRDefault="00C36067" w:rsidP="00D706F4">
            <w:pPr>
              <w:jc w:val="both"/>
              <w:rPr>
                <w:rFonts w:ascii="Calibri" w:eastAsia="Calibri" w:hAnsi="Calibri" w:cs="Times New Roman"/>
              </w:rPr>
            </w:pPr>
            <w:r w:rsidRPr="00577C63">
              <w:rPr>
                <w:rFonts w:ascii="Calibri" w:eastAsia="Calibri" w:hAnsi="Calibri" w:cs="Times New Roman"/>
              </w:rPr>
              <w:t xml:space="preserve">  7,50 </w:t>
            </w:r>
          </w:p>
          <w:p w:rsidR="00C36067" w:rsidRPr="00577C63" w:rsidRDefault="00C36067" w:rsidP="00D706F4">
            <w:pPr>
              <w:jc w:val="both"/>
              <w:rPr>
                <w:rFonts w:ascii="Calibri" w:eastAsia="Calibri" w:hAnsi="Calibri" w:cs="Times New Roman"/>
              </w:rPr>
            </w:pPr>
            <w:r w:rsidRPr="00577C63">
              <w:rPr>
                <w:rFonts w:ascii="Calibri" w:eastAsia="Calibri" w:hAnsi="Calibri" w:cs="Times New Roman"/>
              </w:rPr>
              <w:t>56,51 HRK</w:t>
            </w:r>
          </w:p>
        </w:tc>
      </w:tr>
      <w:tr w:rsidR="00C36067" w:rsidRPr="00577C63" w:rsidTr="00D706F4">
        <w:trPr>
          <w:trHeight w:val="415"/>
        </w:trPr>
        <w:tc>
          <w:tcPr>
            <w:tcW w:w="3399" w:type="dxa"/>
          </w:tcPr>
          <w:p w:rsidR="00C36067" w:rsidRPr="00577C63" w:rsidRDefault="00C36067" w:rsidP="00D706F4">
            <w:pPr>
              <w:jc w:val="both"/>
            </w:pPr>
            <w:r w:rsidRPr="00577C63">
              <w:t>Korisnici usluge koji nisu kategorija kućanstvo</w:t>
            </w:r>
          </w:p>
        </w:tc>
        <w:tc>
          <w:tcPr>
            <w:tcW w:w="1967" w:type="dxa"/>
          </w:tcPr>
          <w:p w:rsidR="00C36067" w:rsidRPr="00577C63" w:rsidRDefault="00C36067" w:rsidP="00D706F4">
            <w:pPr>
              <w:tabs>
                <w:tab w:val="right" w:pos="1769"/>
              </w:tabs>
              <w:jc w:val="both"/>
              <w:rPr>
                <w:rFonts w:ascii="Calibri" w:eastAsia="Calibri" w:hAnsi="Calibri" w:cs="Times New Roman"/>
              </w:rPr>
            </w:pPr>
            <w:r w:rsidRPr="00577C63">
              <w:rPr>
                <w:rFonts w:ascii="Calibri" w:eastAsia="Calibri" w:hAnsi="Calibri" w:cs="Times New Roman"/>
              </w:rPr>
              <w:t>6,64</w:t>
            </w:r>
            <w:r w:rsidRPr="00577C63">
              <w:rPr>
                <w:rFonts w:ascii="Calibri" w:eastAsia="Calibri" w:hAnsi="Calibri" w:cs="Times New Roman"/>
              </w:rPr>
              <w:tab/>
            </w:r>
          </w:p>
        </w:tc>
        <w:tc>
          <w:tcPr>
            <w:tcW w:w="1859" w:type="dxa"/>
          </w:tcPr>
          <w:p w:rsidR="00C36067" w:rsidRPr="00577C63" w:rsidRDefault="00C36067" w:rsidP="00D706F4">
            <w:pPr>
              <w:jc w:val="both"/>
              <w:rPr>
                <w:rFonts w:ascii="Calibri" w:eastAsia="Calibri" w:hAnsi="Calibri" w:cs="Times New Roman"/>
              </w:rPr>
            </w:pPr>
            <w:r w:rsidRPr="00577C63">
              <w:rPr>
                <w:rFonts w:ascii="Calibri" w:eastAsia="Calibri" w:hAnsi="Calibri" w:cs="Times New Roman"/>
              </w:rPr>
              <w:t>0,86</w:t>
            </w:r>
          </w:p>
        </w:tc>
        <w:tc>
          <w:tcPr>
            <w:tcW w:w="1837" w:type="dxa"/>
          </w:tcPr>
          <w:p w:rsidR="00C36067" w:rsidRPr="00577C63" w:rsidRDefault="00C36067" w:rsidP="00D706F4">
            <w:pPr>
              <w:jc w:val="both"/>
              <w:rPr>
                <w:rFonts w:ascii="Calibri" w:eastAsia="Calibri" w:hAnsi="Calibri" w:cs="Times New Roman"/>
              </w:rPr>
            </w:pPr>
            <w:r w:rsidRPr="00577C63">
              <w:rPr>
                <w:rFonts w:ascii="Calibri" w:eastAsia="Calibri" w:hAnsi="Calibri" w:cs="Times New Roman"/>
              </w:rPr>
              <w:t>7,50</w:t>
            </w:r>
          </w:p>
        </w:tc>
      </w:tr>
    </w:tbl>
    <w:p w:rsidR="00C36067" w:rsidRPr="00577C63" w:rsidRDefault="00C36067" w:rsidP="00C36067">
      <w:pPr>
        <w:spacing w:after="0" w:line="240" w:lineRule="auto"/>
        <w:rPr>
          <w:rFonts w:ascii="Times New Roman" w:eastAsia="Arial" w:hAnsi="Times New Roman" w:cs="Times New Roman"/>
          <w:color w:val="231F20"/>
          <w:szCs w:val="20"/>
          <w:lang w:eastAsia="hr-HR"/>
        </w:rPr>
      </w:pPr>
    </w:p>
    <w:p w:rsidR="00C36067" w:rsidRPr="00577C63" w:rsidRDefault="00C36067" w:rsidP="00C36067">
      <w:pPr>
        <w:spacing w:after="0" w:line="240" w:lineRule="auto"/>
        <w:rPr>
          <w:rFonts w:ascii="Times New Roman" w:eastAsia="Arial" w:hAnsi="Times New Roman" w:cs="Times New Roman"/>
          <w:color w:val="231F20"/>
          <w:szCs w:val="20"/>
          <w:lang w:eastAsia="hr-HR"/>
        </w:rPr>
      </w:pPr>
    </w:p>
    <w:p w:rsidR="00C36067" w:rsidRPr="00577C63" w:rsidRDefault="00C36067" w:rsidP="00C36067">
      <w:pPr>
        <w:spacing w:after="0" w:line="240" w:lineRule="auto"/>
        <w:rPr>
          <w:rFonts w:ascii="Times New Roman" w:eastAsia="Arial" w:hAnsi="Times New Roman" w:cs="Times New Roman"/>
          <w:color w:val="231F20"/>
          <w:szCs w:val="20"/>
          <w:lang w:eastAsia="hr-HR"/>
        </w:rPr>
      </w:pPr>
    </w:p>
    <w:p w:rsidR="00C36067" w:rsidRPr="00577C63" w:rsidRDefault="00C36067" w:rsidP="00C36067">
      <w:pPr>
        <w:spacing w:after="0" w:line="240" w:lineRule="auto"/>
        <w:jc w:val="both"/>
        <w:rPr>
          <w:rFonts w:ascii="Times New Roman" w:eastAsia="Arial" w:hAnsi="Times New Roman" w:cs="Times New Roman"/>
          <w:color w:val="231F20"/>
          <w:szCs w:val="20"/>
          <w:lang w:eastAsia="hr-HR"/>
        </w:rPr>
      </w:pPr>
      <w:r w:rsidRPr="00577C63">
        <w:rPr>
          <w:rFonts w:ascii="Times New Roman" w:eastAsia="Arial" w:hAnsi="Times New Roman" w:cs="Times New Roman"/>
          <w:color w:val="231F20"/>
          <w:szCs w:val="20"/>
          <w:lang w:eastAsia="hr-HR"/>
        </w:rPr>
        <w:t>2.KRITERIJ ZA UMANJENJE CIJENE OBVEZNE MINIMALNE JAVNE USLUGE (MJU) NA MJESEČNOJ BAZI KATEGORIJA KUĆANSTVO – POTKATEGORIJA OBITELJSKE KUĆE KOJI SAMI KOMPOSTIRAJU BIOOTPAD (određen čl. 17. Odluke Općinskog vijeća o načinu pružanja javne usluge sakupljanja komunalnog otpada na području Općine Andrijaševci od dana 27. siječnja 2022. g., KLASA: 351-03/22-01/01, URBROJ: 2196-6-03-22-1):</w:t>
      </w:r>
    </w:p>
    <w:p w:rsidR="00C36067" w:rsidRPr="00577C63" w:rsidRDefault="00C36067" w:rsidP="00C36067">
      <w:pPr>
        <w:spacing w:after="0" w:line="240" w:lineRule="auto"/>
        <w:rPr>
          <w:rFonts w:ascii="Times New Roman" w:eastAsia="Arial" w:hAnsi="Times New Roman" w:cs="Times New Roman"/>
          <w:color w:val="231F20"/>
          <w:sz w:val="32"/>
          <w:szCs w:val="24"/>
          <w:lang w:eastAsia="hr-HR"/>
        </w:rPr>
      </w:pPr>
    </w:p>
    <w:tbl>
      <w:tblPr>
        <w:tblStyle w:val="Reetkatablice11"/>
        <w:tblW w:w="9209" w:type="dxa"/>
        <w:tblLook w:val="04A0" w:firstRow="1" w:lastRow="0" w:firstColumn="1" w:lastColumn="0" w:noHBand="0" w:noVBand="1"/>
      </w:tblPr>
      <w:tblGrid>
        <w:gridCol w:w="1394"/>
        <w:gridCol w:w="1437"/>
        <w:gridCol w:w="1700"/>
        <w:gridCol w:w="1560"/>
        <w:gridCol w:w="1417"/>
        <w:gridCol w:w="1701"/>
      </w:tblGrid>
      <w:tr w:rsidR="00C36067" w:rsidRPr="00577C63" w:rsidTr="00D706F4">
        <w:trPr>
          <w:trHeight w:val="492"/>
        </w:trPr>
        <w:tc>
          <w:tcPr>
            <w:tcW w:w="4531" w:type="dxa"/>
            <w:gridSpan w:val="3"/>
          </w:tcPr>
          <w:p w:rsidR="00C36067" w:rsidRPr="00577C63" w:rsidRDefault="00C36067" w:rsidP="00D706F4">
            <w:pPr>
              <w:jc w:val="both"/>
              <w:rPr>
                <w:sz w:val="22"/>
              </w:rPr>
            </w:pPr>
            <w:r w:rsidRPr="00577C63">
              <w:rPr>
                <w:sz w:val="22"/>
              </w:rPr>
              <w:t>Cijena MJU za korisnike kategorije kućanstvo – potkategorije obiteljske kuće, koji sami kompostiraju biootpad  (kn) –iznos umanjenja cijene za 2,92 EUR s PDV-om od iznosa 7,50 EUR s PDV-om</w:t>
            </w:r>
          </w:p>
        </w:tc>
        <w:tc>
          <w:tcPr>
            <w:tcW w:w="4678" w:type="dxa"/>
            <w:gridSpan w:val="3"/>
          </w:tcPr>
          <w:p w:rsidR="00C36067" w:rsidRPr="00577C63" w:rsidRDefault="00C36067" w:rsidP="00D706F4">
            <w:pPr>
              <w:jc w:val="both"/>
              <w:rPr>
                <w:sz w:val="22"/>
              </w:rPr>
            </w:pPr>
            <w:r w:rsidRPr="00577C63">
              <w:rPr>
                <w:sz w:val="22"/>
              </w:rPr>
              <w:t>Cijena MJU za korisnike kategorije kućanstvo – potkategorije obiteljske kuće, koji sami ne kompostiraju biootpad (kn) – nema umanjenja cijene</w:t>
            </w:r>
          </w:p>
        </w:tc>
      </w:tr>
      <w:tr w:rsidR="00C36067" w:rsidRPr="00577C63" w:rsidTr="00D706F4">
        <w:trPr>
          <w:trHeight w:val="492"/>
        </w:trPr>
        <w:tc>
          <w:tcPr>
            <w:tcW w:w="1394" w:type="dxa"/>
          </w:tcPr>
          <w:p w:rsidR="00C36067" w:rsidRPr="00577C63" w:rsidRDefault="00C36067" w:rsidP="00D706F4">
            <w:pPr>
              <w:jc w:val="both"/>
              <w:rPr>
                <w:sz w:val="22"/>
              </w:rPr>
            </w:pPr>
            <w:r w:rsidRPr="00577C63">
              <w:rPr>
                <w:sz w:val="22"/>
              </w:rPr>
              <w:t>Cijena bez PDV-a- EUR</w:t>
            </w:r>
          </w:p>
        </w:tc>
        <w:tc>
          <w:tcPr>
            <w:tcW w:w="1437" w:type="dxa"/>
          </w:tcPr>
          <w:p w:rsidR="00C36067" w:rsidRPr="00577C63" w:rsidRDefault="00C36067" w:rsidP="00D706F4">
            <w:pPr>
              <w:jc w:val="both"/>
              <w:rPr>
                <w:sz w:val="22"/>
              </w:rPr>
            </w:pPr>
            <w:r w:rsidRPr="00577C63">
              <w:rPr>
                <w:sz w:val="22"/>
              </w:rPr>
              <w:t>Iznos PDV-a (13%) EUR</w:t>
            </w:r>
          </w:p>
        </w:tc>
        <w:tc>
          <w:tcPr>
            <w:tcW w:w="1700" w:type="dxa"/>
          </w:tcPr>
          <w:p w:rsidR="00C36067" w:rsidRPr="00577C63" w:rsidRDefault="00C36067" w:rsidP="00D706F4">
            <w:pPr>
              <w:jc w:val="both"/>
              <w:rPr>
                <w:sz w:val="22"/>
              </w:rPr>
            </w:pPr>
            <w:r w:rsidRPr="00577C63">
              <w:rPr>
                <w:sz w:val="22"/>
              </w:rPr>
              <w:t>Ukupna cijena s PDV-om - EUR</w:t>
            </w:r>
          </w:p>
        </w:tc>
        <w:tc>
          <w:tcPr>
            <w:tcW w:w="1560" w:type="dxa"/>
          </w:tcPr>
          <w:p w:rsidR="00C36067" w:rsidRPr="00577C63" w:rsidRDefault="00C36067" w:rsidP="00D706F4">
            <w:pPr>
              <w:jc w:val="both"/>
              <w:rPr>
                <w:sz w:val="22"/>
              </w:rPr>
            </w:pPr>
            <w:r w:rsidRPr="00577C63">
              <w:rPr>
                <w:sz w:val="22"/>
              </w:rPr>
              <w:t>Cijena bez PDV-a - EUR</w:t>
            </w:r>
          </w:p>
        </w:tc>
        <w:tc>
          <w:tcPr>
            <w:tcW w:w="1417" w:type="dxa"/>
          </w:tcPr>
          <w:p w:rsidR="00C36067" w:rsidRPr="00577C63" w:rsidRDefault="00C36067" w:rsidP="00D706F4">
            <w:pPr>
              <w:jc w:val="both"/>
              <w:rPr>
                <w:sz w:val="22"/>
              </w:rPr>
            </w:pPr>
            <w:r w:rsidRPr="00577C63">
              <w:rPr>
                <w:sz w:val="22"/>
              </w:rPr>
              <w:t>Iznos PDV-a (13%) - EUR</w:t>
            </w:r>
          </w:p>
        </w:tc>
        <w:tc>
          <w:tcPr>
            <w:tcW w:w="1701" w:type="dxa"/>
          </w:tcPr>
          <w:p w:rsidR="00C36067" w:rsidRPr="00577C63" w:rsidRDefault="00C36067" w:rsidP="00D706F4">
            <w:pPr>
              <w:jc w:val="both"/>
              <w:rPr>
                <w:sz w:val="22"/>
              </w:rPr>
            </w:pPr>
            <w:r w:rsidRPr="00577C63">
              <w:rPr>
                <w:sz w:val="22"/>
              </w:rPr>
              <w:t>Ukupna cijena s PDV-om - EUR</w:t>
            </w:r>
          </w:p>
        </w:tc>
      </w:tr>
      <w:tr w:rsidR="00C36067" w:rsidRPr="00577C63" w:rsidTr="00D706F4">
        <w:trPr>
          <w:trHeight w:val="414"/>
        </w:trPr>
        <w:tc>
          <w:tcPr>
            <w:tcW w:w="1394" w:type="dxa"/>
          </w:tcPr>
          <w:p w:rsidR="00C36067" w:rsidRPr="00577C63" w:rsidRDefault="00C36067" w:rsidP="00D706F4">
            <w:pPr>
              <w:jc w:val="both"/>
              <w:rPr>
                <w:sz w:val="22"/>
              </w:rPr>
            </w:pPr>
            <w:r w:rsidRPr="00577C63">
              <w:rPr>
                <w:b/>
                <w:sz w:val="22"/>
              </w:rPr>
              <w:t>4,05</w:t>
            </w:r>
          </w:p>
        </w:tc>
        <w:tc>
          <w:tcPr>
            <w:tcW w:w="1437" w:type="dxa"/>
          </w:tcPr>
          <w:p w:rsidR="00C36067" w:rsidRPr="00577C63" w:rsidRDefault="00C36067" w:rsidP="00D706F4">
            <w:pPr>
              <w:jc w:val="both"/>
              <w:rPr>
                <w:b/>
                <w:sz w:val="22"/>
              </w:rPr>
            </w:pPr>
            <w:r w:rsidRPr="00577C63">
              <w:rPr>
                <w:b/>
                <w:sz w:val="22"/>
              </w:rPr>
              <w:t>0,53</w:t>
            </w:r>
          </w:p>
          <w:p w:rsidR="00C36067" w:rsidRPr="00577C63" w:rsidRDefault="00C36067" w:rsidP="00D706F4">
            <w:pPr>
              <w:jc w:val="both"/>
              <w:rPr>
                <w:b/>
                <w:sz w:val="22"/>
              </w:rPr>
            </w:pPr>
          </w:p>
        </w:tc>
        <w:tc>
          <w:tcPr>
            <w:tcW w:w="1700" w:type="dxa"/>
          </w:tcPr>
          <w:p w:rsidR="00C36067" w:rsidRPr="00577C63" w:rsidRDefault="00C36067" w:rsidP="00D706F4">
            <w:pPr>
              <w:jc w:val="both"/>
              <w:rPr>
                <w:b/>
                <w:sz w:val="22"/>
              </w:rPr>
            </w:pPr>
            <w:r w:rsidRPr="00577C63">
              <w:rPr>
                <w:b/>
                <w:sz w:val="22"/>
              </w:rPr>
              <w:t xml:space="preserve">  4,58 </w:t>
            </w:r>
          </w:p>
          <w:p w:rsidR="00C36067" w:rsidRPr="00577C63" w:rsidRDefault="00C36067" w:rsidP="00D706F4">
            <w:pPr>
              <w:jc w:val="both"/>
              <w:rPr>
                <w:b/>
                <w:sz w:val="22"/>
              </w:rPr>
            </w:pPr>
            <w:r w:rsidRPr="00577C63">
              <w:rPr>
                <w:b/>
                <w:sz w:val="22"/>
              </w:rPr>
              <w:t>34,51 HRK</w:t>
            </w:r>
          </w:p>
          <w:p w:rsidR="00C36067" w:rsidRPr="00577C63" w:rsidRDefault="00C36067" w:rsidP="00D706F4">
            <w:pPr>
              <w:jc w:val="both"/>
              <w:rPr>
                <w:b/>
                <w:sz w:val="22"/>
              </w:rPr>
            </w:pPr>
          </w:p>
        </w:tc>
        <w:tc>
          <w:tcPr>
            <w:tcW w:w="1560" w:type="dxa"/>
          </w:tcPr>
          <w:p w:rsidR="00C36067" w:rsidRPr="00577C63" w:rsidRDefault="00C36067" w:rsidP="00D706F4">
            <w:pPr>
              <w:tabs>
                <w:tab w:val="right" w:pos="1769"/>
              </w:tabs>
              <w:jc w:val="both"/>
              <w:rPr>
                <w:rFonts w:eastAsia="Calibri"/>
                <w:sz w:val="22"/>
              </w:rPr>
            </w:pPr>
            <w:r w:rsidRPr="00577C63">
              <w:rPr>
                <w:rFonts w:eastAsia="Calibri"/>
                <w:sz w:val="22"/>
              </w:rPr>
              <w:t>6,64</w:t>
            </w:r>
          </w:p>
        </w:tc>
        <w:tc>
          <w:tcPr>
            <w:tcW w:w="1417" w:type="dxa"/>
          </w:tcPr>
          <w:p w:rsidR="00C36067" w:rsidRPr="00577C63" w:rsidRDefault="00C36067" w:rsidP="00D706F4">
            <w:pPr>
              <w:jc w:val="both"/>
              <w:rPr>
                <w:rFonts w:eastAsia="Calibri"/>
                <w:sz w:val="22"/>
              </w:rPr>
            </w:pPr>
            <w:r w:rsidRPr="00577C63">
              <w:rPr>
                <w:rFonts w:eastAsia="Calibri"/>
                <w:sz w:val="22"/>
              </w:rPr>
              <w:t>0,86</w:t>
            </w:r>
          </w:p>
        </w:tc>
        <w:tc>
          <w:tcPr>
            <w:tcW w:w="1701" w:type="dxa"/>
          </w:tcPr>
          <w:p w:rsidR="00C36067" w:rsidRPr="00577C63" w:rsidRDefault="00C36067" w:rsidP="00D706F4">
            <w:pPr>
              <w:jc w:val="both"/>
              <w:rPr>
                <w:rFonts w:eastAsia="Calibri"/>
                <w:sz w:val="22"/>
              </w:rPr>
            </w:pPr>
            <w:r w:rsidRPr="00577C63">
              <w:rPr>
                <w:rFonts w:eastAsia="Calibri"/>
                <w:sz w:val="22"/>
              </w:rPr>
              <w:t xml:space="preserve">7,50 </w:t>
            </w:r>
          </w:p>
          <w:p w:rsidR="00C36067" w:rsidRPr="00577C63" w:rsidRDefault="00C36067" w:rsidP="00D706F4">
            <w:pPr>
              <w:jc w:val="both"/>
              <w:rPr>
                <w:rFonts w:eastAsia="Calibri"/>
                <w:sz w:val="22"/>
              </w:rPr>
            </w:pPr>
            <w:r w:rsidRPr="00577C63">
              <w:rPr>
                <w:rFonts w:eastAsia="Calibri"/>
                <w:sz w:val="22"/>
              </w:rPr>
              <w:t>56,51 HRK</w:t>
            </w:r>
          </w:p>
          <w:p w:rsidR="00C36067" w:rsidRPr="00577C63" w:rsidRDefault="00C36067" w:rsidP="00D706F4">
            <w:pPr>
              <w:jc w:val="both"/>
              <w:rPr>
                <w:rFonts w:eastAsia="Calibri"/>
                <w:sz w:val="22"/>
              </w:rPr>
            </w:pPr>
            <w:r w:rsidRPr="00577C63">
              <w:rPr>
                <w:rFonts w:eastAsia="Calibri"/>
                <w:sz w:val="22"/>
              </w:rPr>
              <w:t xml:space="preserve">  </w:t>
            </w:r>
          </w:p>
        </w:tc>
      </w:tr>
    </w:tbl>
    <w:p w:rsidR="00C36067" w:rsidRPr="00577C63" w:rsidRDefault="00C36067" w:rsidP="00C36067">
      <w:pPr>
        <w:spacing w:after="0" w:line="240" w:lineRule="auto"/>
        <w:rPr>
          <w:rFonts w:ascii="Times New Roman" w:eastAsia="Calibri" w:hAnsi="Times New Roman" w:cs="Times New Roman"/>
          <w:sz w:val="28"/>
          <w:szCs w:val="24"/>
          <w:lang w:eastAsia="hr-HR"/>
        </w:rPr>
      </w:pPr>
    </w:p>
    <w:p w:rsidR="00C36067" w:rsidRPr="00577C63" w:rsidRDefault="00C36067" w:rsidP="00C36067">
      <w:pPr>
        <w:spacing w:after="0" w:line="240" w:lineRule="auto"/>
        <w:rPr>
          <w:rFonts w:ascii="Times New Roman" w:eastAsia="Calibri" w:hAnsi="Times New Roman" w:cs="Times New Roman"/>
          <w:sz w:val="28"/>
          <w:szCs w:val="24"/>
          <w:lang w:eastAsia="hr-HR"/>
        </w:rPr>
      </w:pPr>
    </w:p>
    <w:p w:rsidR="00C36067" w:rsidRPr="00577C63" w:rsidRDefault="00C36067" w:rsidP="00C36067">
      <w:pPr>
        <w:spacing w:after="0" w:line="240" w:lineRule="auto"/>
        <w:rPr>
          <w:rFonts w:ascii="Times New Roman" w:eastAsia="Calibri" w:hAnsi="Times New Roman" w:cs="Times New Roman"/>
          <w:sz w:val="28"/>
          <w:szCs w:val="24"/>
          <w:lang w:eastAsia="hr-HR"/>
        </w:rPr>
      </w:pPr>
    </w:p>
    <w:p w:rsidR="00C36067" w:rsidRPr="00577C63" w:rsidRDefault="00C36067" w:rsidP="00C36067">
      <w:pPr>
        <w:spacing w:after="0" w:line="240" w:lineRule="auto"/>
        <w:rPr>
          <w:rFonts w:ascii="Times New Roman" w:eastAsia="Calibri" w:hAnsi="Times New Roman" w:cs="Times New Roman"/>
          <w:sz w:val="28"/>
          <w:szCs w:val="24"/>
          <w:lang w:eastAsia="hr-HR"/>
        </w:rPr>
      </w:pPr>
    </w:p>
    <w:p w:rsidR="00C36067" w:rsidRPr="00577C63" w:rsidRDefault="00C36067" w:rsidP="00C36067">
      <w:pPr>
        <w:spacing w:after="0" w:line="240" w:lineRule="auto"/>
        <w:rPr>
          <w:rFonts w:ascii="Times New Roman" w:eastAsia="Calibri" w:hAnsi="Times New Roman" w:cs="Times New Roman"/>
          <w:sz w:val="28"/>
          <w:szCs w:val="24"/>
          <w:lang w:eastAsia="hr-HR"/>
        </w:rPr>
      </w:pPr>
    </w:p>
    <w:p w:rsidR="00C36067" w:rsidRPr="00577C63" w:rsidRDefault="00C36067" w:rsidP="00C36067">
      <w:pPr>
        <w:spacing w:after="0" w:line="240" w:lineRule="auto"/>
        <w:rPr>
          <w:rFonts w:ascii="Times New Roman" w:eastAsia="Calibri" w:hAnsi="Times New Roman" w:cs="Times New Roman"/>
          <w:sz w:val="28"/>
          <w:szCs w:val="24"/>
          <w:lang w:eastAsia="hr-HR"/>
        </w:rPr>
      </w:pPr>
    </w:p>
    <w:p w:rsidR="00C36067" w:rsidRPr="00577C63" w:rsidRDefault="00C36067" w:rsidP="00C36067">
      <w:pPr>
        <w:spacing w:after="0" w:line="240" w:lineRule="auto"/>
        <w:rPr>
          <w:rFonts w:ascii="Times New Roman" w:eastAsia="Calibri" w:hAnsi="Times New Roman" w:cs="Times New Roman"/>
          <w:sz w:val="28"/>
          <w:szCs w:val="24"/>
          <w:lang w:eastAsia="hr-HR"/>
        </w:rPr>
      </w:pPr>
    </w:p>
    <w:p w:rsidR="00C36067" w:rsidRPr="00577C63" w:rsidRDefault="00C36067" w:rsidP="00C36067">
      <w:r w:rsidRPr="00577C63">
        <w:rPr>
          <w:rFonts w:ascii="Times New Roman" w:hAnsi="Times New Roman" w:cs="Times New Roman"/>
        </w:rPr>
        <w:t xml:space="preserve">3.KRITERIJ ZA UMANJENJE CIJENE OBVEZNE MINIMALNE JAVNE USLUGE (MJU) NA MJESEČNOJ BAZI KATEGORIJA KUĆANSTVO – POTKATEGORIJA ETAŽNI STANOVI (određena čl. 17. Odluke Općinskog vijeća o načinu pružanja javne usluge sakupljanja komunalnog otpada na području Općine Andrijaševci od dana 27. siječnja 2022. g., KLASA: 351-03/22-01/01, URBROJ: 2196-6-03-22-1): </w:t>
      </w:r>
    </w:p>
    <w:tbl>
      <w:tblPr>
        <w:tblStyle w:val="Reetkatablice2"/>
        <w:tblW w:w="0" w:type="auto"/>
        <w:tblLook w:val="04A0" w:firstRow="1" w:lastRow="0" w:firstColumn="1" w:lastColumn="0" w:noHBand="0" w:noVBand="1"/>
      </w:tblPr>
      <w:tblGrid>
        <w:gridCol w:w="3510"/>
        <w:gridCol w:w="1985"/>
        <w:gridCol w:w="2126"/>
        <w:gridCol w:w="1667"/>
      </w:tblGrid>
      <w:tr w:rsidR="00C36067" w:rsidRPr="00577C63" w:rsidTr="00D706F4">
        <w:trPr>
          <w:trHeight w:val="487"/>
        </w:trPr>
        <w:tc>
          <w:tcPr>
            <w:tcW w:w="3510" w:type="dxa"/>
          </w:tcPr>
          <w:p w:rsidR="00C36067" w:rsidRPr="00577C63" w:rsidRDefault="00C36067" w:rsidP="00D706F4">
            <w:pPr>
              <w:jc w:val="both"/>
            </w:pPr>
            <w:r w:rsidRPr="00577C63">
              <w:t>Korisnici MJU kategorija kućanstvo/potkategorija etažni stanovi/zajednički spremnik na obračunskom mjestu – obavezno svaki korisnik plaća – postotak umanjenja cijene za 1,46 EUR s PDV-om od iznosa 7,50 EUR s PDV-om</w:t>
            </w:r>
          </w:p>
        </w:tc>
        <w:tc>
          <w:tcPr>
            <w:tcW w:w="1985" w:type="dxa"/>
          </w:tcPr>
          <w:p w:rsidR="00C36067" w:rsidRPr="00577C63" w:rsidRDefault="00C36067" w:rsidP="00D706F4">
            <w:pPr>
              <w:jc w:val="center"/>
            </w:pPr>
            <w:r w:rsidRPr="00577C63">
              <w:t>Cijena bez PDV-a</w:t>
            </w:r>
          </w:p>
          <w:p w:rsidR="00C36067" w:rsidRPr="00577C63" w:rsidRDefault="00C36067" w:rsidP="00D706F4">
            <w:pPr>
              <w:jc w:val="center"/>
            </w:pPr>
            <w:r w:rsidRPr="00577C63">
              <w:t>EUR</w:t>
            </w:r>
          </w:p>
        </w:tc>
        <w:tc>
          <w:tcPr>
            <w:tcW w:w="2126" w:type="dxa"/>
          </w:tcPr>
          <w:p w:rsidR="00C36067" w:rsidRPr="00577C63" w:rsidRDefault="00C36067" w:rsidP="00D706F4">
            <w:pPr>
              <w:jc w:val="center"/>
            </w:pPr>
            <w:r w:rsidRPr="00577C63">
              <w:t>Iznos PDV-a (13%)</w:t>
            </w:r>
          </w:p>
          <w:p w:rsidR="00C36067" w:rsidRPr="00577C63" w:rsidRDefault="00C36067" w:rsidP="00D706F4">
            <w:pPr>
              <w:jc w:val="center"/>
            </w:pPr>
            <w:r w:rsidRPr="00577C63">
              <w:t>EUR</w:t>
            </w:r>
          </w:p>
        </w:tc>
        <w:tc>
          <w:tcPr>
            <w:tcW w:w="1667" w:type="dxa"/>
          </w:tcPr>
          <w:p w:rsidR="00C36067" w:rsidRPr="00577C63" w:rsidRDefault="00C36067" w:rsidP="00D706F4">
            <w:pPr>
              <w:jc w:val="center"/>
            </w:pPr>
            <w:r w:rsidRPr="00577C63">
              <w:t>Ukupna cijena sa PDV-om</w:t>
            </w:r>
          </w:p>
          <w:p w:rsidR="00C36067" w:rsidRPr="00577C63" w:rsidRDefault="00C36067" w:rsidP="00D706F4">
            <w:pPr>
              <w:jc w:val="center"/>
            </w:pPr>
            <w:r w:rsidRPr="00577C63">
              <w:t>EUR</w:t>
            </w:r>
          </w:p>
        </w:tc>
      </w:tr>
      <w:tr w:rsidR="00C36067" w:rsidRPr="00577C63" w:rsidTr="00D706F4">
        <w:trPr>
          <w:trHeight w:val="410"/>
        </w:trPr>
        <w:tc>
          <w:tcPr>
            <w:tcW w:w="3510" w:type="dxa"/>
          </w:tcPr>
          <w:p w:rsidR="00C36067" w:rsidRPr="00577C63" w:rsidRDefault="00C36067" w:rsidP="00D706F4">
            <w:pPr>
              <w:jc w:val="both"/>
            </w:pPr>
            <w:r w:rsidRPr="00577C63">
              <w:t>Zajednički spremnik na obračunskom mjestu (posude ili kontejner ovisno o dogovoru sa suvlasnicima zgrade)</w:t>
            </w:r>
          </w:p>
          <w:p w:rsidR="00C36067" w:rsidRPr="00577C63" w:rsidRDefault="00C36067" w:rsidP="00D706F4">
            <w:pPr>
              <w:jc w:val="both"/>
            </w:pPr>
          </w:p>
        </w:tc>
        <w:tc>
          <w:tcPr>
            <w:tcW w:w="1985" w:type="dxa"/>
          </w:tcPr>
          <w:p w:rsidR="00C36067" w:rsidRPr="00577C63" w:rsidRDefault="00C36067" w:rsidP="00D706F4">
            <w:pPr>
              <w:jc w:val="both"/>
              <w:rPr>
                <w:rFonts w:ascii="Calibri" w:eastAsia="Calibri" w:hAnsi="Calibri" w:cs="Times New Roman"/>
              </w:rPr>
            </w:pPr>
            <w:r w:rsidRPr="00577C63">
              <w:rPr>
                <w:rFonts w:ascii="Calibri" w:eastAsia="Calibri" w:hAnsi="Calibri" w:cs="Times New Roman"/>
              </w:rPr>
              <w:t>5,35</w:t>
            </w:r>
          </w:p>
        </w:tc>
        <w:tc>
          <w:tcPr>
            <w:tcW w:w="2126" w:type="dxa"/>
          </w:tcPr>
          <w:p w:rsidR="00C36067" w:rsidRPr="00577C63" w:rsidRDefault="00C36067" w:rsidP="00D706F4">
            <w:pPr>
              <w:jc w:val="both"/>
              <w:rPr>
                <w:rFonts w:ascii="Calibri" w:eastAsia="Calibri" w:hAnsi="Calibri" w:cs="Times New Roman"/>
              </w:rPr>
            </w:pPr>
            <w:r w:rsidRPr="00577C63">
              <w:rPr>
                <w:rFonts w:ascii="Calibri" w:eastAsia="Calibri" w:hAnsi="Calibri" w:cs="Times New Roman"/>
              </w:rPr>
              <w:t>0,69</w:t>
            </w:r>
          </w:p>
        </w:tc>
        <w:tc>
          <w:tcPr>
            <w:tcW w:w="1667" w:type="dxa"/>
          </w:tcPr>
          <w:p w:rsidR="00C36067" w:rsidRPr="00577C63" w:rsidRDefault="00C36067" w:rsidP="00D706F4">
            <w:pPr>
              <w:jc w:val="both"/>
              <w:rPr>
                <w:rFonts w:ascii="Calibri" w:eastAsia="Calibri" w:hAnsi="Calibri" w:cs="Times New Roman"/>
              </w:rPr>
            </w:pPr>
            <w:r w:rsidRPr="00577C63">
              <w:rPr>
                <w:rFonts w:ascii="Calibri" w:eastAsia="Calibri" w:hAnsi="Calibri" w:cs="Times New Roman"/>
              </w:rPr>
              <w:t xml:space="preserve">6,04 </w:t>
            </w:r>
          </w:p>
          <w:p w:rsidR="00C36067" w:rsidRPr="00577C63" w:rsidRDefault="00C36067" w:rsidP="00D706F4">
            <w:pPr>
              <w:jc w:val="both"/>
              <w:rPr>
                <w:rFonts w:ascii="Calibri" w:eastAsia="Calibri" w:hAnsi="Calibri" w:cs="Times New Roman"/>
              </w:rPr>
            </w:pPr>
            <w:r w:rsidRPr="00577C63">
              <w:rPr>
                <w:rFonts w:ascii="Calibri" w:eastAsia="Calibri" w:hAnsi="Calibri" w:cs="Times New Roman"/>
              </w:rPr>
              <w:t>45,51 HRK</w:t>
            </w:r>
          </w:p>
          <w:p w:rsidR="00C36067" w:rsidRPr="00577C63" w:rsidRDefault="00C36067" w:rsidP="00D706F4">
            <w:pPr>
              <w:jc w:val="both"/>
              <w:rPr>
                <w:rFonts w:ascii="Calibri" w:eastAsia="Calibri" w:hAnsi="Calibri" w:cs="Times New Roman"/>
              </w:rPr>
            </w:pPr>
            <w:r w:rsidRPr="00577C63">
              <w:rPr>
                <w:rFonts w:ascii="Calibri" w:eastAsia="Calibri" w:hAnsi="Calibri" w:cs="Times New Roman"/>
              </w:rPr>
              <w:t xml:space="preserve">  </w:t>
            </w:r>
          </w:p>
        </w:tc>
      </w:tr>
    </w:tbl>
    <w:p w:rsidR="00C36067" w:rsidRPr="00DD5EB3" w:rsidRDefault="00C36067" w:rsidP="00C36067">
      <w:pPr>
        <w:spacing w:after="0" w:line="240" w:lineRule="auto"/>
        <w:rPr>
          <w:rFonts w:ascii="Times New Roman" w:eastAsia="Calibri" w:hAnsi="Times New Roman" w:cs="Times New Roman"/>
          <w:sz w:val="28"/>
          <w:szCs w:val="24"/>
          <w:lang w:eastAsia="hr-HR"/>
        </w:rPr>
      </w:pPr>
    </w:p>
    <w:p w:rsidR="00C36067" w:rsidRPr="00DD5EB3" w:rsidRDefault="00C36067" w:rsidP="00C36067">
      <w:pPr>
        <w:spacing w:after="0" w:line="240" w:lineRule="auto"/>
        <w:rPr>
          <w:rFonts w:ascii="Times New Roman" w:eastAsia="Calibri" w:hAnsi="Times New Roman" w:cs="Times New Roman"/>
          <w:szCs w:val="20"/>
          <w:lang w:eastAsia="hr-HR"/>
        </w:rPr>
      </w:pPr>
    </w:p>
    <w:p w:rsidR="00C36067" w:rsidRPr="00DD5EB3" w:rsidRDefault="00C36067" w:rsidP="00C36067">
      <w:pPr>
        <w:spacing w:after="0" w:line="240" w:lineRule="auto"/>
        <w:jc w:val="both"/>
        <w:rPr>
          <w:rFonts w:ascii="Times New Roman" w:eastAsia="Arial" w:hAnsi="Times New Roman" w:cs="Times New Roman"/>
          <w:szCs w:val="20"/>
          <w:lang w:eastAsia="hr-HR"/>
        </w:rPr>
      </w:pPr>
      <w:r w:rsidRPr="00DD5EB3">
        <w:rPr>
          <w:rFonts w:ascii="Times New Roman" w:eastAsia="Calibri" w:hAnsi="Times New Roman" w:cs="Times New Roman"/>
          <w:szCs w:val="20"/>
          <w:lang w:eastAsia="hr-HR"/>
        </w:rPr>
        <w:t>4.</w:t>
      </w:r>
      <w:r w:rsidRPr="00DD5EB3">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C36067" w:rsidRPr="00DD5EB3" w:rsidRDefault="00C36067" w:rsidP="00C36067">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C36067" w:rsidRPr="00DD5EB3" w:rsidTr="00D706F4">
        <w:trPr>
          <w:trHeight w:val="494"/>
        </w:trPr>
        <w:tc>
          <w:tcPr>
            <w:tcW w:w="3508" w:type="dxa"/>
          </w:tcPr>
          <w:p w:rsidR="00C36067" w:rsidRPr="00DD5EB3" w:rsidRDefault="00C36067" w:rsidP="00D706F4">
            <w:pPr>
              <w:rPr>
                <w:sz w:val="24"/>
              </w:rPr>
            </w:pPr>
            <w:r w:rsidRPr="00DD5EB3">
              <w:rPr>
                <w:sz w:val="24"/>
              </w:rPr>
              <w:t>Ugovoren spremnik MKO (miješani komunalni otpad)</w:t>
            </w:r>
          </w:p>
        </w:tc>
        <w:tc>
          <w:tcPr>
            <w:tcW w:w="1985" w:type="dxa"/>
          </w:tcPr>
          <w:p w:rsidR="00C36067" w:rsidRPr="00DD5EB3" w:rsidRDefault="00C36067" w:rsidP="00D706F4">
            <w:pPr>
              <w:rPr>
                <w:sz w:val="24"/>
              </w:rPr>
            </w:pPr>
            <w:r w:rsidRPr="00DD5EB3">
              <w:rPr>
                <w:sz w:val="24"/>
              </w:rPr>
              <w:t>Cijena bez PDV-a</w:t>
            </w:r>
            <w:r>
              <w:rPr>
                <w:sz w:val="24"/>
              </w:rPr>
              <w:t xml:space="preserve"> - EUR</w:t>
            </w:r>
            <w:r w:rsidRPr="00DD5EB3">
              <w:rPr>
                <w:sz w:val="24"/>
              </w:rPr>
              <w:t xml:space="preserve"> </w:t>
            </w:r>
          </w:p>
        </w:tc>
        <w:tc>
          <w:tcPr>
            <w:tcW w:w="2126" w:type="dxa"/>
          </w:tcPr>
          <w:p w:rsidR="00C36067" w:rsidRPr="00DD5EB3" w:rsidRDefault="00C36067" w:rsidP="00D706F4">
            <w:pPr>
              <w:rPr>
                <w:sz w:val="24"/>
              </w:rPr>
            </w:pPr>
            <w:r w:rsidRPr="00DD5EB3">
              <w:rPr>
                <w:sz w:val="24"/>
              </w:rPr>
              <w:t>Iznos PDV-a (13%)</w:t>
            </w:r>
            <w:r>
              <w:rPr>
                <w:sz w:val="24"/>
              </w:rPr>
              <w:t xml:space="preserve"> - EUR</w:t>
            </w:r>
            <w:r w:rsidRPr="00DD5EB3">
              <w:rPr>
                <w:sz w:val="24"/>
              </w:rPr>
              <w:t xml:space="preserve"> </w:t>
            </w:r>
          </w:p>
        </w:tc>
        <w:tc>
          <w:tcPr>
            <w:tcW w:w="1667" w:type="dxa"/>
          </w:tcPr>
          <w:p w:rsidR="00C36067" w:rsidRPr="00DD5EB3" w:rsidRDefault="00C36067" w:rsidP="00D706F4">
            <w:pPr>
              <w:rPr>
                <w:sz w:val="24"/>
              </w:rPr>
            </w:pPr>
            <w:r w:rsidRPr="00DD5EB3">
              <w:rPr>
                <w:sz w:val="24"/>
              </w:rPr>
              <w:t>Ukupna cijena s PDV-om</w:t>
            </w:r>
            <w:r>
              <w:rPr>
                <w:sz w:val="24"/>
              </w:rPr>
              <w:t xml:space="preserve"> - EUR</w:t>
            </w:r>
            <w:r w:rsidRPr="00DD5EB3">
              <w:rPr>
                <w:sz w:val="24"/>
              </w:rPr>
              <w:t xml:space="preserve"> </w:t>
            </w:r>
          </w:p>
        </w:tc>
      </w:tr>
      <w:tr w:rsidR="00C36067" w:rsidRPr="00DD5EB3" w:rsidTr="00D706F4">
        <w:tc>
          <w:tcPr>
            <w:tcW w:w="3508" w:type="dxa"/>
          </w:tcPr>
          <w:p w:rsidR="00C36067" w:rsidRPr="00DD5EB3" w:rsidRDefault="00C36067" w:rsidP="00D706F4">
            <w:pPr>
              <w:rPr>
                <w:sz w:val="24"/>
              </w:rPr>
            </w:pPr>
            <w:r w:rsidRPr="00DD5EB3">
              <w:rPr>
                <w:sz w:val="24"/>
              </w:rPr>
              <w:t>spremnik 120 litara/jedan odvoz</w:t>
            </w:r>
          </w:p>
        </w:tc>
        <w:tc>
          <w:tcPr>
            <w:tcW w:w="1985" w:type="dxa"/>
          </w:tcPr>
          <w:p w:rsidR="00C36067" w:rsidRPr="0004268B" w:rsidRDefault="00C36067" w:rsidP="00D706F4">
            <w:pPr>
              <w:rPr>
                <w:sz w:val="28"/>
              </w:rPr>
            </w:pPr>
            <w:r w:rsidRPr="0004268B">
              <w:rPr>
                <w:sz w:val="28"/>
              </w:rPr>
              <w:t xml:space="preserve">2,2124 </w:t>
            </w:r>
          </w:p>
        </w:tc>
        <w:tc>
          <w:tcPr>
            <w:tcW w:w="2126" w:type="dxa"/>
          </w:tcPr>
          <w:p w:rsidR="00C36067" w:rsidRPr="0004268B" w:rsidRDefault="00C36067" w:rsidP="00D706F4">
            <w:pPr>
              <w:rPr>
                <w:sz w:val="28"/>
              </w:rPr>
            </w:pPr>
            <w:r>
              <w:rPr>
                <w:sz w:val="28"/>
              </w:rPr>
              <w:t>0,2876</w:t>
            </w:r>
          </w:p>
        </w:tc>
        <w:tc>
          <w:tcPr>
            <w:tcW w:w="1667" w:type="dxa"/>
          </w:tcPr>
          <w:p w:rsidR="00C36067" w:rsidRPr="0004268B" w:rsidRDefault="00C36067" w:rsidP="00D706F4">
            <w:pPr>
              <w:rPr>
                <w:sz w:val="28"/>
              </w:rPr>
            </w:pPr>
            <w:r w:rsidRPr="0004268B">
              <w:rPr>
                <w:sz w:val="28"/>
              </w:rPr>
              <w:t xml:space="preserve">2,50 </w:t>
            </w:r>
          </w:p>
          <w:p w:rsidR="00C36067" w:rsidRPr="0004268B" w:rsidRDefault="00C36067" w:rsidP="00D706F4">
            <w:pPr>
              <w:rPr>
                <w:sz w:val="28"/>
              </w:rPr>
            </w:pPr>
            <w:r w:rsidRPr="0004268B">
              <w:rPr>
                <w:sz w:val="28"/>
              </w:rPr>
              <w:t>(18,84 kn)</w:t>
            </w:r>
          </w:p>
        </w:tc>
      </w:tr>
      <w:tr w:rsidR="00C36067" w:rsidRPr="00DD5EB3" w:rsidTr="00D706F4">
        <w:tc>
          <w:tcPr>
            <w:tcW w:w="3508" w:type="dxa"/>
          </w:tcPr>
          <w:p w:rsidR="00C36067" w:rsidRPr="00DD5EB3" w:rsidRDefault="00C36067" w:rsidP="00D706F4">
            <w:pPr>
              <w:rPr>
                <w:sz w:val="24"/>
              </w:rPr>
            </w:pPr>
            <w:r w:rsidRPr="00DD5EB3">
              <w:rPr>
                <w:sz w:val="24"/>
              </w:rPr>
              <w:t>spremnik 240 litara/jedan odvoz</w:t>
            </w:r>
          </w:p>
        </w:tc>
        <w:tc>
          <w:tcPr>
            <w:tcW w:w="1985" w:type="dxa"/>
          </w:tcPr>
          <w:p w:rsidR="00C36067" w:rsidRPr="0004268B" w:rsidRDefault="00C36067" w:rsidP="00D706F4">
            <w:pPr>
              <w:rPr>
                <w:sz w:val="28"/>
              </w:rPr>
            </w:pPr>
            <w:r w:rsidRPr="0004268B">
              <w:rPr>
                <w:sz w:val="28"/>
              </w:rPr>
              <w:t xml:space="preserve">4,4248 </w:t>
            </w:r>
          </w:p>
        </w:tc>
        <w:tc>
          <w:tcPr>
            <w:tcW w:w="2126" w:type="dxa"/>
          </w:tcPr>
          <w:p w:rsidR="00C36067" w:rsidRPr="0004268B" w:rsidRDefault="00C36067" w:rsidP="00D706F4">
            <w:pPr>
              <w:rPr>
                <w:sz w:val="28"/>
              </w:rPr>
            </w:pPr>
            <w:r w:rsidRPr="0004268B">
              <w:rPr>
                <w:sz w:val="28"/>
              </w:rPr>
              <w:t>0,5752</w:t>
            </w:r>
          </w:p>
          <w:p w:rsidR="00C36067" w:rsidRPr="0004268B" w:rsidRDefault="00C36067" w:rsidP="00D706F4">
            <w:pPr>
              <w:rPr>
                <w:sz w:val="28"/>
              </w:rPr>
            </w:pPr>
          </w:p>
        </w:tc>
        <w:tc>
          <w:tcPr>
            <w:tcW w:w="1667" w:type="dxa"/>
          </w:tcPr>
          <w:p w:rsidR="00C36067" w:rsidRPr="0004268B" w:rsidRDefault="00C36067" w:rsidP="00D706F4">
            <w:pPr>
              <w:rPr>
                <w:sz w:val="28"/>
              </w:rPr>
            </w:pPr>
            <w:r w:rsidRPr="0004268B">
              <w:rPr>
                <w:sz w:val="28"/>
              </w:rPr>
              <w:t>5,00</w:t>
            </w:r>
          </w:p>
          <w:p w:rsidR="00C36067" w:rsidRPr="0004268B" w:rsidRDefault="00C36067" w:rsidP="00D706F4">
            <w:pPr>
              <w:rPr>
                <w:sz w:val="28"/>
              </w:rPr>
            </w:pPr>
            <w:r w:rsidRPr="0004268B">
              <w:rPr>
                <w:sz w:val="28"/>
              </w:rPr>
              <w:t>(37,67 kn)</w:t>
            </w:r>
          </w:p>
        </w:tc>
      </w:tr>
    </w:tbl>
    <w:p w:rsidR="00C36067" w:rsidRPr="00DD5EB3" w:rsidRDefault="00C36067" w:rsidP="00C36067">
      <w:pPr>
        <w:spacing w:after="0" w:line="240" w:lineRule="auto"/>
        <w:rPr>
          <w:rFonts w:ascii="Times New Roman" w:eastAsia="Times New Roman" w:hAnsi="Times New Roman" w:cs="Times New Roman"/>
          <w:szCs w:val="20"/>
          <w:lang w:eastAsia="hr-HR"/>
        </w:rPr>
      </w:pPr>
    </w:p>
    <w:p w:rsidR="00C36067" w:rsidRDefault="00C36067" w:rsidP="00C36067">
      <w:pPr>
        <w:spacing w:after="0" w:line="240" w:lineRule="auto"/>
        <w:rPr>
          <w:rFonts w:ascii="Times New Roman" w:eastAsia="Times New Roman" w:hAnsi="Times New Roman" w:cs="Times New Roman"/>
          <w:szCs w:val="20"/>
          <w:lang w:eastAsia="hr-HR"/>
        </w:rPr>
      </w:pPr>
    </w:p>
    <w:p w:rsidR="00C36067" w:rsidRDefault="00C36067" w:rsidP="00C36067">
      <w:pPr>
        <w:spacing w:after="0" w:line="240" w:lineRule="auto"/>
        <w:rPr>
          <w:rFonts w:ascii="Times New Roman" w:eastAsia="Times New Roman" w:hAnsi="Times New Roman" w:cs="Times New Roman"/>
          <w:szCs w:val="20"/>
          <w:lang w:eastAsia="hr-HR"/>
        </w:rPr>
      </w:pPr>
    </w:p>
    <w:p w:rsidR="00C36067" w:rsidRDefault="00C36067" w:rsidP="00C36067">
      <w:pPr>
        <w:spacing w:after="0" w:line="240" w:lineRule="auto"/>
        <w:rPr>
          <w:rFonts w:ascii="Times New Roman" w:eastAsia="Times New Roman" w:hAnsi="Times New Roman" w:cs="Times New Roman"/>
          <w:szCs w:val="20"/>
          <w:lang w:eastAsia="hr-HR"/>
        </w:rPr>
      </w:pPr>
    </w:p>
    <w:p w:rsidR="00C36067" w:rsidRDefault="00C36067" w:rsidP="00C36067">
      <w:pPr>
        <w:spacing w:after="0" w:line="240" w:lineRule="auto"/>
        <w:rPr>
          <w:rFonts w:ascii="Times New Roman" w:eastAsia="Times New Roman" w:hAnsi="Times New Roman" w:cs="Times New Roman"/>
          <w:szCs w:val="20"/>
          <w:lang w:eastAsia="hr-HR"/>
        </w:rPr>
      </w:pPr>
    </w:p>
    <w:p w:rsidR="00C36067" w:rsidRDefault="00C36067" w:rsidP="00C36067">
      <w:pPr>
        <w:spacing w:after="0" w:line="240" w:lineRule="auto"/>
        <w:rPr>
          <w:rFonts w:ascii="Times New Roman" w:eastAsia="Times New Roman" w:hAnsi="Times New Roman" w:cs="Times New Roman"/>
          <w:szCs w:val="20"/>
          <w:lang w:eastAsia="hr-HR"/>
        </w:rPr>
      </w:pPr>
    </w:p>
    <w:p w:rsidR="00C36067" w:rsidRDefault="00C36067" w:rsidP="00C36067">
      <w:pPr>
        <w:spacing w:after="0" w:line="240" w:lineRule="auto"/>
        <w:rPr>
          <w:rFonts w:ascii="Times New Roman" w:eastAsia="Times New Roman" w:hAnsi="Times New Roman" w:cs="Times New Roman"/>
          <w:szCs w:val="20"/>
          <w:lang w:eastAsia="hr-HR"/>
        </w:rPr>
      </w:pPr>
    </w:p>
    <w:p w:rsidR="00C36067" w:rsidRDefault="00C36067" w:rsidP="00C36067">
      <w:pPr>
        <w:spacing w:after="0" w:line="240" w:lineRule="auto"/>
        <w:rPr>
          <w:rFonts w:ascii="Times New Roman" w:eastAsia="Times New Roman" w:hAnsi="Times New Roman" w:cs="Times New Roman"/>
          <w:szCs w:val="20"/>
          <w:lang w:eastAsia="hr-HR"/>
        </w:rPr>
      </w:pPr>
    </w:p>
    <w:p w:rsidR="00C36067" w:rsidRPr="00DD5EB3" w:rsidRDefault="00C36067" w:rsidP="00C36067">
      <w:pPr>
        <w:spacing w:after="0" w:line="240" w:lineRule="auto"/>
        <w:rPr>
          <w:rFonts w:ascii="Times New Roman" w:eastAsia="Times New Roman" w:hAnsi="Times New Roman" w:cs="Times New Roman"/>
          <w:szCs w:val="20"/>
          <w:lang w:eastAsia="hr-HR"/>
        </w:rPr>
      </w:pPr>
    </w:p>
    <w:p w:rsidR="00C36067" w:rsidRPr="00DD5EB3" w:rsidRDefault="00C36067" w:rsidP="00C36067">
      <w:pPr>
        <w:spacing w:after="0"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5</w:t>
      </w:r>
      <w:r w:rsidRPr="00DD5EB3">
        <w:rPr>
          <w:rFonts w:ascii="Times New Roman" w:eastAsia="Times New Roman" w:hAnsi="Times New Roman" w:cs="Times New Roman"/>
          <w:szCs w:val="24"/>
          <w:lang w:eastAsia="hr-HR"/>
        </w:rPr>
        <w:t xml:space="preserve">. </w:t>
      </w:r>
      <w:r w:rsidRPr="00DD5EB3">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C36067" w:rsidRPr="00DD5EB3" w:rsidRDefault="00C36067" w:rsidP="00C36067">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C36067" w:rsidRPr="00DD5EB3" w:rsidTr="00D706F4">
        <w:trPr>
          <w:trHeight w:val="680"/>
        </w:trPr>
        <w:tc>
          <w:tcPr>
            <w:tcW w:w="3479" w:type="dxa"/>
          </w:tcPr>
          <w:p w:rsidR="00C36067" w:rsidRPr="00DD5EB3" w:rsidRDefault="00C36067" w:rsidP="00D706F4">
            <w:pPr>
              <w:rPr>
                <w:sz w:val="24"/>
              </w:rPr>
            </w:pPr>
            <w:r w:rsidRPr="00DD5EB3">
              <w:rPr>
                <w:sz w:val="24"/>
              </w:rPr>
              <w:t>Ugovoren spremnik MKO (miješani komunalni otpad)</w:t>
            </w:r>
          </w:p>
        </w:tc>
        <w:tc>
          <w:tcPr>
            <w:tcW w:w="1969" w:type="dxa"/>
          </w:tcPr>
          <w:p w:rsidR="00C36067" w:rsidRPr="00DD5EB3" w:rsidRDefault="00C36067" w:rsidP="00D706F4">
            <w:pPr>
              <w:rPr>
                <w:sz w:val="24"/>
              </w:rPr>
            </w:pPr>
            <w:r>
              <w:rPr>
                <w:sz w:val="24"/>
              </w:rPr>
              <w:t>Cijena bez PDV-a - EUR</w:t>
            </w:r>
          </w:p>
        </w:tc>
        <w:tc>
          <w:tcPr>
            <w:tcW w:w="2108" w:type="dxa"/>
          </w:tcPr>
          <w:p w:rsidR="00C36067" w:rsidRPr="00DD5EB3" w:rsidRDefault="00C36067" w:rsidP="00D706F4">
            <w:pPr>
              <w:rPr>
                <w:sz w:val="24"/>
              </w:rPr>
            </w:pPr>
            <w:r>
              <w:rPr>
                <w:sz w:val="24"/>
              </w:rPr>
              <w:t>Iznos PDV-a (13%) - EUR</w:t>
            </w:r>
          </w:p>
        </w:tc>
        <w:tc>
          <w:tcPr>
            <w:tcW w:w="1653" w:type="dxa"/>
          </w:tcPr>
          <w:p w:rsidR="00C36067" w:rsidRPr="00DD5EB3" w:rsidRDefault="00C36067" w:rsidP="00D706F4">
            <w:pPr>
              <w:rPr>
                <w:sz w:val="24"/>
              </w:rPr>
            </w:pPr>
            <w:r>
              <w:rPr>
                <w:sz w:val="24"/>
              </w:rPr>
              <w:t>Ukupna cijena s PDV-om -EUR</w:t>
            </w:r>
          </w:p>
        </w:tc>
      </w:tr>
      <w:tr w:rsidR="00C36067" w:rsidRPr="00DD5EB3" w:rsidTr="00D706F4">
        <w:trPr>
          <w:trHeight w:val="358"/>
        </w:trPr>
        <w:tc>
          <w:tcPr>
            <w:tcW w:w="3479" w:type="dxa"/>
          </w:tcPr>
          <w:p w:rsidR="00C36067" w:rsidRPr="00DD5EB3" w:rsidRDefault="00C36067" w:rsidP="00D706F4">
            <w:pPr>
              <w:rPr>
                <w:sz w:val="24"/>
              </w:rPr>
            </w:pPr>
            <w:r w:rsidRPr="00DD5EB3">
              <w:rPr>
                <w:sz w:val="24"/>
              </w:rPr>
              <w:t>spremnik 120 litara/jedan odvoz</w:t>
            </w:r>
          </w:p>
        </w:tc>
        <w:tc>
          <w:tcPr>
            <w:tcW w:w="1969" w:type="dxa"/>
          </w:tcPr>
          <w:p w:rsidR="00C36067" w:rsidRPr="00D95BE1" w:rsidRDefault="00C36067" w:rsidP="00D706F4">
            <w:pPr>
              <w:rPr>
                <w:sz w:val="24"/>
              </w:rPr>
            </w:pPr>
            <w:r>
              <w:rPr>
                <w:sz w:val="24"/>
              </w:rPr>
              <w:t>3,0973</w:t>
            </w:r>
          </w:p>
        </w:tc>
        <w:tc>
          <w:tcPr>
            <w:tcW w:w="2108" w:type="dxa"/>
          </w:tcPr>
          <w:p w:rsidR="00C36067" w:rsidRPr="00D95BE1" w:rsidRDefault="00C36067" w:rsidP="00D706F4">
            <w:pPr>
              <w:rPr>
                <w:sz w:val="24"/>
              </w:rPr>
            </w:pPr>
            <w:r>
              <w:rPr>
                <w:sz w:val="24"/>
              </w:rPr>
              <w:t>0,4027</w:t>
            </w:r>
          </w:p>
        </w:tc>
        <w:tc>
          <w:tcPr>
            <w:tcW w:w="1653" w:type="dxa"/>
          </w:tcPr>
          <w:p w:rsidR="00C36067" w:rsidRPr="00D95BE1" w:rsidRDefault="00C36067" w:rsidP="00D706F4">
            <w:pPr>
              <w:jc w:val="both"/>
              <w:rPr>
                <w:sz w:val="24"/>
              </w:rPr>
            </w:pPr>
            <w:r>
              <w:rPr>
                <w:sz w:val="24"/>
              </w:rPr>
              <w:t>3,50</w:t>
            </w:r>
          </w:p>
        </w:tc>
      </w:tr>
      <w:tr w:rsidR="00C36067" w:rsidRPr="00DD5EB3" w:rsidTr="00D706F4">
        <w:trPr>
          <w:trHeight w:val="401"/>
        </w:trPr>
        <w:tc>
          <w:tcPr>
            <w:tcW w:w="3479" w:type="dxa"/>
          </w:tcPr>
          <w:p w:rsidR="00C36067" w:rsidRPr="00DD5EB3" w:rsidRDefault="00C36067" w:rsidP="00D706F4">
            <w:pPr>
              <w:rPr>
                <w:sz w:val="24"/>
              </w:rPr>
            </w:pPr>
            <w:r w:rsidRPr="00DD5EB3">
              <w:rPr>
                <w:sz w:val="24"/>
              </w:rPr>
              <w:t>spremnik 240 litara/jedan odvoz</w:t>
            </w:r>
          </w:p>
        </w:tc>
        <w:tc>
          <w:tcPr>
            <w:tcW w:w="1969" w:type="dxa"/>
          </w:tcPr>
          <w:p w:rsidR="00C36067" w:rsidRPr="00D95BE1" w:rsidRDefault="00C36067" w:rsidP="00D706F4">
            <w:pPr>
              <w:rPr>
                <w:sz w:val="24"/>
              </w:rPr>
            </w:pPr>
            <w:r>
              <w:rPr>
                <w:sz w:val="24"/>
              </w:rPr>
              <w:t>6,1947</w:t>
            </w:r>
          </w:p>
        </w:tc>
        <w:tc>
          <w:tcPr>
            <w:tcW w:w="2108" w:type="dxa"/>
          </w:tcPr>
          <w:p w:rsidR="00C36067" w:rsidRPr="00D95BE1" w:rsidRDefault="00C36067" w:rsidP="00D706F4">
            <w:pPr>
              <w:rPr>
                <w:sz w:val="24"/>
              </w:rPr>
            </w:pPr>
            <w:r>
              <w:rPr>
                <w:sz w:val="24"/>
              </w:rPr>
              <w:t>0,8053</w:t>
            </w:r>
          </w:p>
        </w:tc>
        <w:tc>
          <w:tcPr>
            <w:tcW w:w="1653" w:type="dxa"/>
          </w:tcPr>
          <w:p w:rsidR="00C36067" w:rsidRPr="00D95BE1" w:rsidRDefault="00C36067" w:rsidP="00D706F4">
            <w:pPr>
              <w:jc w:val="both"/>
              <w:rPr>
                <w:sz w:val="24"/>
              </w:rPr>
            </w:pPr>
            <w:r>
              <w:rPr>
                <w:sz w:val="24"/>
              </w:rPr>
              <w:t>7,00</w:t>
            </w:r>
          </w:p>
        </w:tc>
      </w:tr>
      <w:tr w:rsidR="00C36067" w:rsidRPr="00DD5EB3" w:rsidTr="00D706F4">
        <w:trPr>
          <w:trHeight w:val="401"/>
        </w:trPr>
        <w:tc>
          <w:tcPr>
            <w:tcW w:w="3479" w:type="dxa"/>
          </w:tcPr>
          <w:p w:rsidR="00C36067" w:rsidRPr="00DD5EB3" w:rsidRDefault="00C36067" w:rsidP="00D706F4">
            <w:pPr>
              <w:rPr>
                <w:sz w:val="24"/>
              </w:rPr>
            </w:pPr>
            <w:r w:rsidRPr="00DD5EB3">
              <w:rPr>
                <w:sz w:val="24"/>
              </w:rPr>
              <w:t>spremnik 1100 litara/jedan odvoz</w:t>
            </w:r>
          </w:p>
        </w:tc>
        <w:tc>
          <w:tcPr>
            <w:tcW w:w="1969" w:type="dxa"/>
          </w:tcPr>
          <w:p w:rsidR="00C36067" w:rsidRPr="00D95BE1" w:rsidRDefault="00C36067" w:rsidP="00D706F4">
            <w:pPr>
              <w:rPr>
                <w:sz w:val="24"/>
              </w:rPr>
            </w:pPr>
            <w:r>
              <w:rPr>
                <w:sz w:val="24"/>
              </w:rPr>
              <w:t>28,3894</w:t>
            </w:r>
          </w:p>
        </w:tc>
        <w:tc>
          <w:tcPr>
            <w:tcW w:w="2108" w:type="dxa"/>
          </w:tcPr>
          <w:p w:rsidR="00C36067" w:rsidRPr="00D95BE1" w:rsidRDefault="00C36067" w:rsidP="00D706F4">
            <w:pPr>
              <w:rPr>
                <w:sz w:val="24"/>
              </w:rPr>
            </w:pPr>
            <w:r>
              <w:rPr>
                <w:sz w:val="24"/>
              </w:rPr>
              <w:t>3,6906</w:t>
            </w:r>
          </w:p>
        </w:tc>
        <w:tc>
          <w:tcPr>
            <w:tcW w:w="1653" w:type="dxa"/>
          </w:tcPr>
          <w:p w:rsidR="00C36067" w:rsidRPr="00D95BE1" w:rsidRDefault="00C36067" w:rsidP="00D706F4">
            <w:pPr>
              <w:jc w:val="both"/>
              <w:rPr>
                <w:sz w:val="24"/>
              </w:rPr>
            </w:pPr>
            <w:r>
              <w:rPr>
                <w:sz w:val="24"/>
              </w:rPr>
              <w:t>32,08</w:t>
            </w:r>
          </w:p>
        </w:tc>
      </w:tr>
    </w:tbl>
    <w:p w:rsidR="00C36067" w:rsidRDefault="00C36067" w:rsidP="00C36067">
      <w:pPr>
        <w:spacing w:after="0" w:line="240" w:lineRule="auto"/>
        <w:rPr>
          <w:rFonts w:ascii="Times New Roman" w:eastAsia="Times New Roman" w:hAnsi="Times New Roman" w:cs="Times New Roman"/>
          <w:sz w:val="28"/>
          <w:szCs w:val="24"/>
          <w:lang w:eastAsia="hr-HR"/>
        </w:rPr>
      </w:pPr>
    </w:p>
    <w:p w:rsidR="00C36067" w:rsidRPr="00DD5EB3" w:rsidRDefault="00C36067" w:rsidP="00C36067">
      <w:pPr>
        <w:spacing w:after="0" w:line="240" w:lineRule="auto"/>
        <w:rPr>
          <w:rFonts w:ascii="Times New Roman" w:eastAsia="Times New Roman" w:hAnsi="Times New Roman" w:cs="Times New Roman"/>
          <w:sz w:val="28"/>
          <w:szCs w:val="24"/>
          <w:lang w:eastAsia="hr-HR"/>
        </w:rPr>
      </w:pPr>
    </w:p>
    <w:p w:rsidR="00C36067" w:rsidRPr="00DD5EB3" w:rsidRDefault="00C36067" w:rsidP="00C36067">
      <w:pPr>
        <w:spacing w:after="0" w:line="240" w:lineRule="auto"/>
        <w:rPr>
          <w:rFonts w:ascii="Times New Roman" w:eastAsia="Times New Roman" w:hAnsi="Times New Roman" w:cs="Times New Roman"/>
          <w:sz w:val="28"/>
          <w:szCs w:val="24"/>
          <w:lang w:eastAsia="hr-HR"/>
        </w:rPr>
      </w:pPr>
    </w:p>
    <w:p w:rsidR="00C36067" w:rsidRDefault="00C36067" w:rsidP="00C36067">
      <w:pPr>
        <w:spacing w:after="0" w:line="0" w:lineRule="atLeast"/>
        <w:rPr>
          <w:rFonts w:ascii="Times New Roman" w:eastAsia="Arial" w:hAnsi="Times New Roman" w:cs="Times New Roman"/>
          <w:szCs w:val="20"/>
          <w:lang w:eastAsia="hr-HR"/>
        </w:rPr>
      </w:pPr>
      <w:r>
        <w:rPr>
          <w:rFonts w:ascii="Times New Roman" w:eastAsia="Arial" w:hAnsi="Times New Roman" w:cs="Times New Roman"/>
          <w:szCs w:val="20"/>
          <w:lang w:eastAsia="hr-HR"/>
        </w:rPr>
        <w:t>6</w:t>
      </w:r>
      <w:r w:rsidRPr="00B045F2">
        <w:rPr>
          <w:rFonts w:ascii="Times New Roman" w:eastAsia="Arial" w:hAnsi="Times New Roman" w:cs="Times New Roman"/>
          <w:szCs w:val="20"/>
          <w:lang w:eastAsia="hr-HR"/>
        </w:rPr>
        <w:t>. OSTALE CIJENE</w:t>
      </w:r>
      <w:r>
        <w:rPr>
          <w:rFonts w:ascii="Times New Roman" w:eastAsia="Arial" w:hAnsi="Times New Roman" w:cs="Times New Roman"/>
          <w:szCs w:val="20"/>
          <w:lang w:eastAsia="hr-HR"/>
        </w:rPr>
        <w:t xml:space="preserve"> USLUGE</w:t>
      </w:r>
      <w:r w:rsidRPr="00B045F2">
        <w:rPr>
          <w:rFonts w:ascii="Times New Roman" w:eastAsia="Arial" w:hAnsi="Times New Roman" w:cs="Times New Roman"/>
          <w:szCs w:val="20"/>
          <w:lang w:eastAsia="hr-HR"/>
        </w:rPr>
        <w:t xml:space="preserve"> -  ZA </w:t>
      </w:r>
      <w:r>
        <w:rPr>
          <w:rFonts w:ascii="Times New Roman" w:eastAsia="Arial" w:hAnsi="Times New Roman" w:cs="Times New Roman"/>
          <w:szCs w:val="20"/>
          <w:lang w:eastAsia="hr-HR"/>
        </w:rPr>
        <w:t xml:space="preserve">KATEGORIJU </w:t>
      </w:r>
      <w:r w:rsidRPr="00B045F2">
        <w:rPr>
          <w:rFonts w:ascii="Times New Roman" w:eastAsia="Arial" w:hAnsi="Times New Roman" w:cs="Times New Roman"/>
          <w:szCs w:val="20"/>
          <w:lang w:eastAsia="hr-HR"/>
        </w:rPr>
        <w:t xml:space="preserve">KUĆANSTVA </w:t>
      </w:r>
      <w:r>
        <w:rPr>
          <w:rFonts w:ascii="Times New Roman" w:eastAsia="Arial" w:hAnsi="Times New Roman" w:cs="Times New Roman"/>
          <w:szCs w:val="20"/>
          <w:lang w:eastAsia="hr-HR"/>
        </w:rPr>
        <w:t>I KORISNIKE KOJI NISU KUĆANSTVA:</w:t>
      </w:r>
    </w:p>
    <w:p w:rsidR="00C36067" w:rsidRPr="00B045F2" w:rsidRDefault="00C36067" w:rsidP="00C36067">
      <w:pPr>
        <w:spacing w:after="0" w:line="0" w:lineRule="atLeast"/>
        <w:rPr>
          <w:rFonts w:ascii="Times New Roman" w:eastAsia="Arial" w:hAnsi="Times New Roman" w:cs="Times New Roman"/>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C36067" w:rsidRPr="004E46E7" w:rsidTr="00D706F4">
        <w:trPr>
          <w:trHeight w:val="487"/>
        </w:trPr>
        <w:tc>
          <w:tcPr>
            <w:tcW w:w="4233" w:type="dxa"/>
            <w:tcBorders>
              <w:top w:val="single" w:sz="4" w:space="0" w:color="auto"/>
              <w:left w:val="single" w:sz="4" w:space="0" w:color="auto"/>
              <w:bottom w:val="single" w:sz="4" w:space="0" w:color="auto"/>
              <w:right w:val="single" w:sz="4" w:space="0" w:color="auto"/>
            </w:tcBorders>
          </w:tcPr>
          <w:p w:rsidR="00C36067" w:rsidRPr="004E46E7" w:rsidRDefault="00C36067" w:rsidP="00D706F4">
            <w:pPr>
              <w:rPr>
                <w:sz w:val="22"/>
              </w:rPr>
            </w:pPr>
          </w:p>
          <w:p w:rsidR="00C36067" w:rsidRPr="004E46E7" w:rsidRDefault="00C36067" w:rsidP="00D706F4">
            <w:pPr>
              <w:rPr>
                <w:sz w:val="22"/>
              </w:rPr>
            </w:pPr>
            <w:r w:rsidRPr="004E46E7">
              <w:rPr>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C36067" w:rsidRPr="004E46E7" w:rsidRDefault="00C36067" w:rsidP="00D706F4">
            <w:pPr>
              <w:rPr>
                <w:sz w:val="22"/>
              </w:rPr>
            </w:pPr>
            <w:r w:rsidRPr="004E46E7">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C36067" w:rsidRPr="004E46E7" w:rsidRDefault="00C36067" w:rsidP="00D706F4">
            <w:pPr>
              <w:rPr>
                <w:sz w:val="22"/>
              </w:rPr>
            </w:pPr>
            <w:r w:rsidRPr="004E46E7">
              <w:rPr>
                <w:sz w:val="22"/>
              </w:rP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C36067" w:rsidRPr="004E46E7" w:rsidRDefault="00C36067" w:rsidP="00D706F4">
            <w:pPr>
              <w:rPr>
                <w:sz w:val="22"/>
              </w:rPr>
            </w:pPr>
            <w:r w:rsidRPr="004E46E7">
              <w:rPr>
                <w:sz w:val="22"/>
              </w:rPr>
              <w:t>Ukupna cijena s PDV-om - EUR</w:t>
            </w:r>
          </w:p>
        </w:tc>
      </w:tr>
      <w:tr w:rsidR="004E46E7" w:rsidRPr="004E46E7" w:rsidTr="00D706F4">
        <w:trPr>
          <w:trHeight w:val="415"/>
        </w:trPr>
        <w:tc>
          <w:tcPr>
            <w:tcW w:w="4233" w:type="dxa"/>
            <w:tcBorders>
              <w:top w:val="single" w:sz="4" w:space="0" w:color="auto"/>
              <w:left w:val="single" w:sz="4" w:space="0" w:color="auto"/>
              <w:bottom w:val="single" w:sz="4" w:space="0" w:color="auto"/>
              <w:right w:val="single" w:sz="4" w:space="0" w:color="auto"/>
            </w:tcBorders>
            <w:hideMark/>
          </w:tcPr>
          <w:p w:rsidR="004E46E7" w:rsidRPr="004E46E7" w:rsidRDefault="004E46E7" w:rsidP="00F9419C">
            <w:pPr>
              <w:rPr>
                <w:sz w:val="22"/>
              </w:rPr>
            </w:pPr>
            <w:r w:rsidRPr="004E46E7">
              <w:rPr>
                <w:sz w:val="22"/>
              </w:rP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4E46E7" w:rsidRPr="004E46E7" w:rsidRDefault="004E46E7" w:rsidP="00F9419C">
            <w:pPr>
              <w:rPr>
                <w:sz w:val="22"/>
              </w:rPr>
            </w:pPr>
            <w:r w:rsidRPr="004E46E7">
              <w:rPr>
                <w:sz w:val="22"/>
              </w:rPr>
              <w:t>2,61</w:t>
            </w:r>
          </w:p>
        </w:tc>
        <w:tc>
          <w:tcPr>
            <w:tcW w:w="1658" w:type="dxa"/>
            <w:tcBorders>
              <w:top w:val="single" w:sz="4" w:space="0" w:color="auto"/>
              <w:left w:val="single" w:sz="4" w:space="0" w:color="auto"/>
              <w:bottom w:val="single" w:sz="4" w:space="0" w:color="auto"/>
              <w:right w:val="single" w:sz="4" w:space="0" w:color="auto"/>
            </w:tcBorders>
            <w:hideMark/>
          </w:tcPr>
          <w:p w:rsidR="004E46E7" w:rsidRPr="004E46E7" w:rsidRDefault="004E46E7" w:rsidP="00F9419C">
            <w:pPr>
              <w:rPr>
                <w:sz w:val="22"/>
              </w:rPr>
            </w:pPr>
            <w:r w:rsidRPr="004E46E7">
              <w:rPr>
                <w:sz w:val="22"/>
              </w:rPr>
              <w:t>0,34</w:t>
            </w:r>
          </w:p>
        </w:tc>
        <w:tc>
          <w:tcPr>
            <w:tcW w:w="1793" w:type="dxa"/>
            <w:tcBorders>
              <w:top w:val="single" w:sz="4" w:space="0" w:color="auto"/>
              <w:left w:val="single" w:sz="4" w:space="0" w:color="auto"/>
              <w:bottom w:val="single" w:sz="4" w:space="0" w:color="auto"/>
              <w:right w:val="single" w:sz="4" w:space="0" w:color="auto"/>
            </w:tcBorders>
            <w:hideMark/>
          </w:tcPr>
          <w:p w:rsidR="004E46E7" w:rsidRPr="004E46E7" w:rsidRDefault="004E46E7" w:rsidP="00F9419C">
            <w:pPr>
              <w:rPr>
                <w:sz w:val="22"/>
              </w:rPr>
            </w:pPr>
            <w:r w:rsidRPr="004E46E7">
              <w:rPr>
                <w:sz w:val="22"/>
              </w:rPr>
              <w:t>2,95</w:t>
            </w:r>
          </w:p>
          <w:p w:rsidR="004E46E7" w:rsidRPr="004E46E7" w:rsidRDefault="004E46E7" w:rsidP="00F9419C">
            <w:pPr>
              <w:rPr>
                <w:sz w:val="22"/>
              </w:rPr>
            </w:pPr>
            <w:r w:rsidRPr="004E46E7">
              <w:rPr>
                <w:sz w:val="22"/>
              </w:rPr>
              <w:t>22,23 HRK</w:t>
            </w:r>
          </w:p>
        </w:tc>
      </w:tr>
    </w:tbl>
    <w:p w:rsidR="00C36067" w:rsidRPr="004E46E7" w:rsidRDefault="00C36067" w:rsidP="00C36067">
      <w:pPr>
        <w:jc w:val="both"/>
        <w:rPr>
          <w:rFonts w:ascii="Calibri" w:eastAsia="Calibri" w:hAnsi="Calibri" w:cs="Times New Roman"/>
          <w:sz w:val="24"/>
        </w:rPr>
      </w:pPr>
      <w:r w:rsidRPr="004E46E7">
        <w:rPr>
          <w:rFonts w:ascii="Calibri" w:eastAsia="Calibri" w:hAnsi="Calibri" w:cs="Times New Roman"/>
          <w:sz w:val="24"/>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C36067" w:rsidRPr="004E46E7" w:rsidTr="00D706F4">
        <w:trPr>
          <w:trHeight w:val="421"/>
        </w:trPr>
        <w:tc>
          <w:tcPr>
            <w:tcW w:w="4233" w:type="dxa"/>
            <w:tcBorders>
              <w:top w:val="single" w:sz="4" w:space="0" w:color="auto"/>
              <w:left w:val="single" w:sz="4" w:space="0" w:color="auto"/>
              <w:bottom w:val="single" w:sz="4" w:space="0" w:color="auto"/>
              <w:right w:val="single" w:sz="4" w:space="0" w:color="auto"/>
            </w:tcBorders>
            <w:hideMark/>
          </w:tcPr>
          <w:p w:rsidR="00C36067" w:rsidRPr="004E46E7" w:rsidRDefault="00C36067" w:rsidP="00D706F4">
            <w:pPr>
              <w:rPr>
                <w:rFonts w:asciiTheme="minorHAnsi" w:eastAsiaTheme="minorHAnsi" w:hAnsiTheme="minorHAnsi" w:cstheme="minorBidi"/>
                <w:sz w:val="22"/>
              </w:rPr>
            </w:pPr>
            <w:r w:rsidRPr="004E46E7">
              <w:rPr>
                <w:rFonts w:ascii="Calibri" w:eastAsia="Calibri" w:hAnsi="Calibri"/>
                <w:sz w:val="22"/>
              </w:rPr>
              <w:t xml:space="preserve">  </w:t>
            </w:r>
            <w:r w:rsidRPr="004E46E7">
              <w:rPr>
                <w:rFonts w:asciiTheme="minorHAnsi" w:eastAsiaTheme="minorHAnsi" w:hAnsiTheme="minorHAnsi" w:cstheme="minorBidi"/>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C36067" w:rsidRPr="004E46E7" w:rsidRDefault="00C36067" w:rsidP="00D706F4">
            <w:pPr>
              <w:jc w:val="both"/>
              <w:rPr>
                <w:sz w:val="22"/>
              </w:rPr>
            </w:pPr>
            <w:r w:rsidRPr="004E46E7">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C36067" w:rsidRPr="004E46E7" w:rsidRDefault="00C36067" w:rsidP="00D706F4">
            <w:pPr>
              <w:jc w:val="both"/>
              <w:rPr>
                <w:sz w:val="22"/>
              </w:rPr>
            </w:pPr>
            <w:r w:rsidRPr="004E46E7">
              <w:rPr>
                <w:sz w:val="22"/>
              </w:rP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C36067" w:rsidRPr="004E46E7" w:rsidRDefault="00C36067" w:rsidP="00D706F4">
            <w:pPr>
              <w:jc w:val="both"/>
              <w:rPr>
                <w:sz w:val="22"/>
              </w:rPr>
            </w:pPr>
            <w:r w:rsidRPr="004E46E7">
              <w:rPr>
                <w:sz w:val="22"/>
              </w:rPr>
              <w:t>Ukupna cijena s PDV-om - EUR</w:t>
            </w:r>
          </w:p>
        </w:tc>
      </w:tr>
      <w:tr w:rsidR="00C36067" w:rsidRPr="004E46E7" w:rsidTr="00D706F4">
        <w:trPr>
          <w:trHeight w:val="421"/>
        </w:trPr>
        <w:tc>
          <w:tcPr>
            <w:tcW w:w="4233" w:type="dxa"/>
            <w:tcBorders>
              <w:top w:val="single" w:sz="4" w:space="0" w:color="auto"/>
              <w:left w:val="single" w:sz="4" w:space="0" w:color="auto"/>
              <w:bottom w:val="single" w:sz="4" w:space="0" w:color="auto"/>
              <w:right w:val="single" w:sz="4" w:space="0" w:color="auto"/>
            </w:tcBorders>
            <w:hideMark/>
          </w:tcPr>
          <w:p w:rsidR="00C36067" w:rsidRPr="004E46E7" w:rsidRDefault="00C36067" w:rsidP="00D706F4">
            <w:pPr>
              <w:rPr>
                <w:sz w:val="22"/>
              </w:rPr>
            </w:pPr>
            <w:r w:rsidRPr="004E46E7">
              <w:rPr>
                <w:sz w:val="22"/>
              </w:rP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C36067" w:rsidRPr="004E46E7" w:rsidRDefault="00C36067" w:rsidP="00D706F4">
            <w:pPr>
              <w:jc w:val="both"/>
              <w:rPr>
                <w:sz w:val="22"/>
              </w:rPr>
            </w:pPr>
            <w:r w:rsidRPr="004E46E7">
              <w:rPr>
                <w:sz w:val="22"/>
              </w:rPr>
              <w:t>12,00</w:t>
            </w:r>
          </w:p>
        </w:tc>
        <w:tc>
          <w:tcPr>
            <w:tcW w:w="1658" w:type="dxa"/>
            <w:tcBorders>
              <w:top w:val="single" w:sz="4" w:space="0" w:color="auto"/>
              <w:left w:val="single" w:sz="4" w:space="0" w:color="auto"/>
              <w:bottom w:val="single" w:sz="4" w:space="0" w:color="auto"/>
              <w:right w:val="single" w:sz="4" w:space="0" w:color="auto"/>
            </w:tcBorders>
            <w:hideMark/>
          </w:tcPr>
          <w:p w:rsidR="00C36067" w:rsidRPr="004E46E7" w:rsidRDefault="00C36067" w:rsidP="00D706F4">
            <w:pPr>
              <w:jc w:val="both"/>
              <w:rPr>
                <w:sz w:val="22"/>
              </w:rPr>
            </w:pPr>
            <w:r w:rsidRPr="004E46E7">
              <w:rPr>
                <w:sz w:val="22"/>
              </w:rPr>
              <w:t>3,00</w:t>
            </w:r>
          </w:p>
        </w:tc>
        <w:tc>
          <w:tcPr>
            <w:tcW w:w="1793" w:type="dxa"/>
            <w:tcBorders>
              <w:top w:val="single" w:sz="4" w:space="0" w:color="auto"/>
              <w:left w:val="single" w:sz="4" w:space="0" w:color="auto"/>
              <w:bottom w:val="single" w:sz="4" w:space="0" w:color="auto"/>
              <w:right w:val="single" w:sz="4" w:space="0" w:color="auto"/>
            </w:tcBorders>
            <w:hideMark/>
          </w:tcPr>
          <w:p w:rsidR="00C36067" w:rsidRPr="004E46E7" w:rsidRDefault="00C36067" w:rsidP="00D706F4">
            <w:pPr>
              <w:jc w:val="both"/>
              <w:rPr>
                <w:sz w:val="22"/>
              </w:rPr>
            </w:pPr>
            <w:r w:rsidRPr="004E46E7">
              <w:rPr>
                <w:sz w:val="22"/>
              </w:rPr>
              <w:t xml:space="preserve">  15,00</w:t>
            </w:r>
          </w:p>
          <w:p w:rsidR="00C36067" w:rsidRPr="004E46E7" w:rsidRDefault="00C36067" w:rsidP="00D706F4">
            <w:pPr>
              <w:jc w:val="both"/>
              <w:rPr>
                <w:sz w:val="22"/>
              </w:rPr>
            </w:pPr>
            <w:r w:rsidRPr="004E46E7">
              <w:rPr>
                <w:sz w:val="22"/>
              </w:rPr>
              <w:t xml:space="preserve">  113,02 HRK</w:t>
            </w:r>
          </w:p>
          <w:p w:rsidR="00C36067" w:rsidRPr="004E46E7" w:rsidRDefault="00C36067" w:rsidP="00D706F4">
            <w:pPr>
              <w:jc w:val="both"/>
              <w:rPr>
                <w:sz w:val="22"/>
              </w:rPr>
            </w:pPr>
            <w:r w:rsidRPr="004E46E7">
              <w:rPr>
                <w:sz w:val="22"/>
              </w:rPr>
              <w:t xml:space="preserve">  </w:t>
            </w:r>
          </w:p>
        </w:tc>
      </w:tr>
    </w:tbl>
    <w:p w:rsidR="00C36067" w:rsidRDefault="00C36067" w:rsidP="00C36067">
      <w:pPr>
        <w:rPr>
          <w:rFonts w:ascii="Calibri" w:eastAsia="Calibri" w:hAnsi="Calibri" w:cs="Times New Roman"/>
        </w:rPr>
      </w:pPr>
    </w:p>
    <w:p w:rsidR="00C36067" w:rsidRPr="00DD5EB3" w:rsidRDefault="00C36067" w:rsidP="00C36067">
      <w:pPr>
        <w:rPr>
          <w:rFonts w:ascii="Calibri" w:eastAsia="Calibri" w:hAnsi="Calibri" w:cs="Times New Roman"/>
        </w:rPr>
      </w:pPr>
    </w:p>
    <w:p w:rsidR="00C36067" w:rsidRPr="00DD5EB3" w:rsidRDefault="00C36067" w:rsidP="00C36067">
      <w:pPr>
        <w:jc w:val="center"/>
        <w:rPr>
          <w:rFonts w:ascii="Calibri" w:eastAsia="Calibri" w:hAnsi="Calibri" w:cs="Times New Roman"/>
          <w:b/>
          <w:sz w:val="24"/>
        </w:rPr>
      </w:pPr>
      <w:r w:rsidRPr="00DD5EB3">
        <w:rPr>
          <w:rFonts w:ascii="Calibri" w:eastAsia="Calibri" w:hAnsi="Calibri" w:cs="Times New Roman"/>
          <w:b/>
          <w:sz w:val="24"/>
        </w:rPr>
        <w:t>OBRAZLOŽENJE PREDLOŽENOG CJENIKA</w:t>
      </w:r>
    </w:p>
    <w:p w:rsidR="00C36067" w:rsidRPr="00DD5EB3" w:rsidRDefault="00C36067" w:rsidP="00C36067">
      <w:pPr>
        <w:jc w:val="center"/>
        <w:rPr>
          <w:rFonts w:ascii="Calibri" w:eastAsia="Calibri" w:hAnsi="Calibri" w:cs="Times New Roman"/>
          <w:b/>
          <w:sz w:val="24"/>
        </w:rPr>
      </w:pPr>
    </w:p>
    <w:p w:rsidR="00C36067" w:rsidRDefault="00C36067" w:rsidP="00C36067">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Trgovačko društvo Nevkoš d.o.o. za uslužne djelatnosti iz Vinkovaca, Martina Ballinga</w:t>
      </w:r>
      <w:r>
        <w:rPr>
          <w:rFonts w:ascii="Times New Roman" w:eastAsia="Times New Roman" w:hAnsi="Times New Roman" w:cs="Times New Roman"/>
          <w:sz w:val="24"/>
          <w:szCs w:val="24"/>
          <w:lang w:eastAsia="hr-HR"/>
        </w:rPr>
        <w:t xml:space="preserve"> 5, OIB 76173743169,</w:t>
      </w:r>
      <w:r w:rsidRPr="00DD5EB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w:t>
      </w:r>
      <w:r w:rsidRPr="00DD5EB3">
        <w:rPr>
          <w:rFonts w:ascii="Times New Roman" w:eastAsia="Times New Roman" w:hAnsi="Times New Roman" w:cs="Times New Roman"/>
          <w:sz w:val="24"/>
          <w:szCs w:val="24"/>
          <w:lang w:eastAsia="hr-HR"/>
        </w:rPr>
        <w:t>e koncesionar u postupku davanja koncesije za obavljanje javne usluge prikupljanja, odvoza i zbrinjavanja miješanog komunalnog otpada i biorazgradivog komunalnog otpada n</w:t>
      </w:r>
      <w:r>
        <w:rPr>
          <w:rFonts w:ascii="Times New Roman" w:eastAsia="Times New Roman" w:hAnsi="Times New Roman" w:cs="Times New Roman"/>
          <w:sz w:val="24"/>
          <w:szCs w:val="24"/>
          <w:lang w:eastAsia="hr-HR"/>
        </w:rPr>
        <w:t xml:space="preserve">a području općine Andrijaševci, </w:t>
      </w:r>
      <w:r w:rsidRPr="005773D2">
        <w:rPr>
          <w:rFonts w:ascii="Times New Roman" w:eastAsia="Times New Roman" w:hAnsi="Times New Roman" w:cs="Times New Roman"/>
          <w:sz w:val="24"/>
          <w:szCs w:val="24"/>
          <w:lang w:eastAsia="hr-HR"/>
        </w:rPr>
        <w:t>a temeljem odluke Općinskog vijeća o davanju koncesije.</w:t>
      </w:r>
    </w:p>
    <w:p w:rsidR="00C36067" w:rsidRPr="00DD5EB3" w:rsidRDefault="00C36067" w:rsidP="00C36067">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w:t>
      </w:r>
      <w:r w:rsidRPr="00DD5EB3">
        <w:rPr>
          <w:rFonts w:ascii="Times New Roman" w:eastAsia="Times New Roman" w:hAnsi="Times New Roman" w:cs="Times New Roman"/>
          <w:sz w:val="24"/>
          <w:szCs w:val="24"/>
          <w:lang w:eastAsia="hr-HR"/>
        </w:rPr>
        <w:lastRenderedPageBreak/>
        <w:t xml:space="preserve">određenom području pružanja usluge putem spremnika od pojedinih korisnika i prijevoz tog otpada do ovlaštene osobe za obradu tog otpada. </w:t>
      </w:r>
    </w:p>
    <w:p w:rsidR="00C36067" w:rsidRPr="00DD5EB3" w:rsidRDefault="00C36067" w:rsidP="00C36067">
      <w:pPr>
        <w:spacing w:after="0" w:line="240" w:lineRule="auto"/>
        <w:ind w:left="21" w:right="126"/>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C36067" w:rsidRPr="00DD5EB3" w:rsidRDefault="00C36067" w:rsidP="00C36067">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Slijedom navedenog, davatelj koncesije Općina Andriješ</w:t>
      </w:r>
      <w:r>
        <w:rPr>
          <w:rFonts w:ascii="Times New Roman" w:eastAsia="Times New Roman" w:hAnsi="Times New Roman" w:cs="Times New Roman"/>
          <w:sz w:val="24"/>
          <w:szCs w:val="24"/>
          <w:lang w:eastAsia="hr-HR"/>
        </w:rPr>
        <w:t>e</w:t>
      </w:r>
      <w:r w:rsidRPr="00DD5EB3">
        <w:rPr>
          <w:rFonts w:ascii="Times New Roman" w:eastAsia="Times New Roman" w:hAnsi="Times New Roman" w:cs="Times New Roman"/>
          <w:sz w:val="24"/>
          <w:szCs w:val="24"/>
          <w:lang w:eastAsia="hr-HR"/>
        </w:rPr>
        <w:t xml:space="preserve">vci – Općinsko vijeće je donijelo Odluku o načinu pružanja javne usluge javne usluge sakupljanja komunalnog otpada na području Općine Andrijaševci na sjednici Općinskog vijeća održanoj dana 27. siječnja 2022. g., KLASA: 351-03/22-01/01, URBROJ: 2196-6-03-22-1, a kojom Odlukom je u čl. 16. određeno da cijena minimalne javne usluge na području </w:t>
      </w:r>
      <w:r>
        <w:rPr>
          <w:rFonts w:ascii="Times New Roman" w:eastAsia="Times New Roman" w:hAnsi="Times New Roman" w:cs="Times New Roman"/>
          <w:sz w:val="24"/>
          <w:szCs w:val="24"/>
          <w:lang w:eastAsia="hr-HR"/>
        </w:rPr>
        <w:t>Općine Andrijaševci</w:t>
      </w:r>
      <w:r w:rsidRPr="00DD5EB3">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kućanstva-sve potkategorije), iznosi </w:t>
      </w:r>
      <w:r>
        <w:rPr>
          <w:rFonts w:ascii="Times New Roman" w:eastAsia="Times New Roman" w:hAnsi="Times New Roman" w:cs="Times New Roman"/>
          <w:sz w:val="24"/>
          <w:szCs w:val="24"/>
          <w:lang w:eastAsia="hr-HR"/>
        </w:rPr>
        <w:t>7,50 EUR-a - 56,51</w:t>
      </w:r>
      <w:r w:rsidRPr="00DD5EB3">
        <w:rPr>
          <w:rFonts w:ascii="Times New Roman" w:eastAsia="Times New Roman" w:hAnsi="Times New Roman" w:cs="Times New Roman"/>
          <w:sz w:val="24"/>
          <w:szCs w:val="24"/>
          <w:lang w:eastAsia="hr-HR"/>
        </w:rPr>
        <w:t xml:space="preserve"> kn (uključujući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Andrijaševci. </w:t>
      </w:r>
    </w:p>
    <w:p w:rsidR="00C36067" w:rsidRPr="00DD5EB3" w:rsidRDefault="00C36067" w:rsidP="00C36067">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Andrijaševci na sjednici Općinskog vijeća održanoj dana 27. siječnja 2022. g., KLASA: 351-03/22-01/01, URBROJ: 2196-6-03-22-1 i ista iznosi za sve korisnike </w:t>
      </w:r>
      <w:r w:rsidRPr="005773D2">
        <w:rPr>
          <w:rFonts w:ascii="Times New Roman" w:eastAsia="Times New Roman" w:hAnsi="Times New Roman" w:cs="Times New Roman"/>
          <w:sz w:val="24"/>
          <w:szCs w:val="24"/>
          <w:lang w:eastAsia="hr-HR"/>
        </w:rPr>
        <w:t xml:space="preserve">7,50 EUR-a - 56,51 kn </w:t>
      </w:r>
      <w:r w:rsidRPr="00DD5EB3">
        <w:rPr>
          <w:rFonts w:ascii="Times New Roman" w:eastAsia="Times New Roman" w:hAnsi="Times New Roman" w:cs="Times New Roman"/>
          <w:sz w:val="24"/>
          <w:szCs w:val="24"/>
          <w:lang w:eastAsia="hr-HR"/>
        </w:rPr>
        <w:t xml:space="preserve">uključujući PDV, dok su u čl. 17. iste Odluke određeni kriteriji za umanjenje cijene za korisnike usluge, kojima je propisano kako će cijena minimalne javne usluge za korisnike u kategoriji kućanstvo – potkategorija obiteljske kuće koji sami kompostiraju otpad biti umanjena za </w:t>
      </w:r>
      <w:r>
        <w:rPr>
          <w:rFonts w:ascii="Times New Roman" w:eastAsia="Times New Roman" w:hAnsi="Times New Roman" w:cs="Times New Roman"/>
          <w:sz w:val="24"/>
          <w:szCs w:val="24"/>
          <w:lang w:eastAsia="hr-HR"/>
        </w:rPr>
        <w:t>2,92 EUR-a</w:t>
      </w:r>
      <w:r w:rsidRPr="00DD5EB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r w:rsidRPr="00DD5EB3">
        <w:rPr>
          <w:rFonts w:ascii="Times New Roman" w:eastAsia="Times New Roman" w:hAnsi="Times New Roman" w:cs="Times New Roman"/>
          <w:sz w:val="24"/>
          <w:szCs w:val="24"/>
          <w:lang w:eastAsia="hr-HR"/>
        </w:rPr>
        <w:t>21,96 kn</w:t>
      </w:r>
      <w:r>
        <w:rPr>
          <w:rFonts w:ascii="Times New Roman" w:eastAsia="Times New Roman" w:hAnsi="Times New Roman" w:cs="Times New Roman"/>
          <w:sz w:val="24"/>
          <w:szCs w:val="24"/>
          <w:lang w:eastAsia="hr-HR"/>
        </w:rPr>
        <w:t>)</w:t>
      </w:r>
      <w:r w:rsidRPr="00DD5EB3">
        <w:rPr>
          <w:rFonts w:ascii="Times New Roman" w:eastAsia="Times New Roman" w:hAnsi="Times New Roman" w:cs="Times New Roman"/>
          <w:sz w:val="24"/>
          <w:szCs w:val="24"/>
          <w:lang w:eastAsia="hr-HR"/>
        </w:rPr>
        <w:t xml:space="preserve"> mjesečno, a za korisnike u kategoriji kućanstvo – potkategorija etažni stanovi će biti umanjena za </w:t>
      </w:r>
      <w:r>
        <w:rPr>
          <w:rFonts w:ascii="Times New Roman" w:eastAsia="Times New Roman" w:hAnsi="Times New Roman" w:cs="Times New Roman"/>
          <w:sz w:val="24"/>
          <w:szCs w:val="24"/>
          <w:lang w:eastAsia="hr-HR"/>
        </w:rPr>
        <w:t>1,46 EUR-a</w:t>
      </w:r>
      <w:r w:rsidRPr="00DD5EB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r w:rsidRPr="00DD5EB3">
        <w:rPr>
          <w:rFonts w:ascii="Times New Roman" w:eastAsia="Times New Roman" w:hAnsi="Times New Roman" w:cs="Times New Roman"/>
          <w:sz w:val="24"/>
          <w:szCs w:val="24"/>
          <w:lang w:eastAsia="hr-HR"/>
        </w:rPr>
        <w:t>10,98 kn</w:t>
      </w:r>
      <w:r>
        <w:rPr>
          <w:rFonts w:ascii="Times New Roman" w:eastAsia="Times New Roman" w:hAnsi="Times New Roman" w:cs="Times New Roman"/>
          <w:sz w:val="24"/>
          <w:szCs w:val="24"/>
          <w:lang w:eastAsia="hr-HR"/>
        </w:rPr>
        <w:t xml:space="preserve">) </w:t>
      </w:r>
      <w:r w:rsidRPr="00DD5EB3">
        <w:rPr>
          <w:rFonts w:ascii="Times New Roman" w:eastAsia="Times New Roman" w:hAnsi="Times New Roman" w:cs="Times New Roman"/>
          <w:sz w:val="24"/>
          <w:szCs w:val="24"/>
          <w:lang w:eastAsia="hr-HR"/>
        </w:rPr>
        <w:t>mjesečno.</w:t>
      </w:r>
    </w:p>
    <w:p w:rsidR="00C36067" w:rsidRPr="00021A07" w:rsidRDefault="00C36067" w:rsidP="00C36067">
      <w:pPr>
        <w:spacing w:after="0" w:line="240" w:lineRule="auto"/>
        <w:ind w:firstLine="708"/>
        <w:jc w:val="both"/>
        <w:rPr>
          <w:rFonts w:ascii="Times New Roman" w:hAnsi="Times New Roman" w:cs="Times New Roman"/>
          <w:sz w:val="24"/>
          <w:szCs w:val="24"/>
        </w:rPr>
      </w:pPr>
      <w:r w:rsidRPr="00021A07">
        <w:rPr>
          <w:rFonts w:ascii="Times New Roman" w:hAnsi="Times New Roman" w:cs="Times New Roman"/>
          <w:sz w:val="24"/>
          <w:szCs w:val="24"/>
        </w:rPr>
        <w:t>Vrlo važno je za naglasiti kako mi kao pružatelj usluge predlažemo, sukladno posljednjim zakonski</w:t>
      </w:r>
      <w:r>
        <w:rPr>
          <w:rFonts w:ascii="Times New Roman" w:hAnsi="Times New Roman" w:cs="Times New Roman"/>
          <w:sz w:val="24"/>
          <w:szCs w:val="24"/>
        </w:rPr>
        <w:t xml:space="preserve">m izmjenama, na suglasnost </w:t>
      </w:r>
      <w:r w:rsidRPr="00021A07">
        <w:rPr>
          <w:rFonts w:ascii="Times New Roman" w:hAnsi="Times New Roman" w:cs="Times New Roman"/>
          <w:sz w:val="24"/>
          <w:szCs w:val="24"/>
        </w:rPr>
        <w:t xml:space="preserve">načelniku samo varijabilni dio cijene iznosa računa, budući je cijena minimalne javne usluge određena čl. 16. Odluke </w:t>
      </w:r>
      <w:r>
        <w:rPr>
          <w:rFonts w:ascii="Times New Roman" w:hAnsi="Times New Roman" w:cs="Times New Roman"/>
          <w:sz w:val="24"/>
          <w:szCs w:val="24"/>
        </w:rPr>
        <w:t>Općinskog</w:t>
      </w:r>
      <w:r w:rsidRPr="00021A07">
        <w:rPr>
          <w:rFonts w:ascii="Times New Roman" w:hAnsi="Times New Roman" w:cs="Times New Roman"/>
          <w:sz w:val="24"/>
          <w:szCs w:val="24"/>
        </w:rPr>
        <w:t xml:space="preserve"> vijeća o načinu pružanja javne usluge sakupljanja komunalnog otpada na području </w:t>
      </w:r>
      <w:r>
        <w:rPr>
          <w:rFonts w:ascii="Times New Roman" w:hAnsi="Times New Roman" w:cs="Times New Roman"/>
          <w:sz w:val="24"/>
          <w:szCs w:val="24"/>
        </w:rPr>
        <w:t>Općine</w:t>
      </w:r>
      <w:r w:rsidRPr="00021A07">
        <w:rPr>
          <w:rFonts w:ascii="Times New Roman" w:hAnsi="Times New Roman" w:cs="Times New Roman"/>
          <w:sz w:val="24"/>
          <w:szCs w:val="24"/>
        </w:rPr>
        <w:t xml:space="preserve"> od dana </w:t>
      </w:r>
      <w:r>
        <w:rPr>
          <w:rFonts w:ascii="Times New Roman" w:hAnsi="Times New Roman" w:cs="Times New Roman"/>
          <w:sz w:val="24"/>
          <w:szCs w:val="24"/>
        </w:rPr>
        <w:t>27. siječnja 2022</w:t>
      </w:r>
      <w:r w:rsidRPr="00021A07">
        <w:rPr>
          <w:rFonts w:ascii="Times New Roman" w:hAnsi="Times New Roman" w:cs="Times New Roman"/>
          <w:sz w:val="24"/>
          <w:szCs w:val="24"/>
        </w:rPr>
        <w:t>. g., a kako je ranije navedeno.</w:t>
      </w:r>
      <w:r>
        <w:rPr>
          <w:rFonts w:ascii="Times New Roman" w:hAnsi="Times New Roman" w:cs="Times New Roman"/>
          <w:sz w:val="24"/>
          <w:szCs w:val="24"/>
        </w:rPr>
        <w:t xml:space="preserve"> Ističemo kako je na ovaj naš prijedlog cijene koji predstavlja poskupljenje usluge za naše korisnike utjecala poglavito činjenica kako nam je  dopisom od 16. ožujka 2023. g. trgovačko društvo KOMUNALAC d.o.o. iz Vukovara kao upravitelj odlagalištem otpada jednostrano raskinulo ugovor-suradnju u vidu zbrinjavanja miješanog komunalnog otpada KBO 20 03 01 na odlagalištu otpada „Petrovačka dola“ s danom 30. travnja 2023. g. i tim potezom nas dovela do toga da od 1. svibnja 2023. g. mi ne bismo imali gdje odlagati miješani komunalni otpad, a samim time ne bismo ga mogli niti sakupljati od naših korisnika na području Općine. U međuvremenu smo temeljem uloženog napora čelnika grada Vinkovaca i drugih jedinica lokalne samouprave, kao i našeg osobnog, uspjeli dogovoriti suradnju u vidu zbrinjavanja miješanog komunalnog otpada od 1. svibnja 2023. g. sa trgovačkim društvom Univerzal d.o.o. </w:t>
      </w:r>
      <w:r w:rsidRPr="00554BB8">
        <w:rPr>
          <w:rFonts w:ascii="Times New Roman" w:hAnsi="Times New Roman" w:cs="Times New Roman"/>
          <w:sz w:val="24"/>
          <w:szCs w:val="24"/>
        </w:rPr>
        <w:t xml:space="preserve">iz Đakova </w:t>
      </w:r>
      <w:r>
        <w:rPr>
          <w:rFonts w:ascii="Times New Roman" w:hAnsi="Times New Roman" w:cs="Times New Roman"/>
          <w:sz w:val="24"/>
          <w:szCs w:val="24"/>
        </w:rPr>
        <w:t xml:space="preserve">na odlagalištu otpada „Vitika“ u gradu Đakovu (u prilogu dopis o raskidu ugovora Komunalac d.o.o. iz Vukovara i ugovor o suradnji s trgovačkim društvom Univerzal d.o.o. iz Đakova). Međutim, ranija cijena zbrinjavanja miješanog komunalnog otpada po toni u Vukovaru je iznosila 30,00 eura bez </w:t>
      </w:r>
      <w:r>
        <w:rPr>
          <w:rFonts w:ascii="Times New Roman" w:hAnsi="Times New Roman" w:cs="Times New Roman"/>
          <w:sz w:val="24"/>
          <w:szCs w:val="24"/>
        </w:rPr>
        <w:lastRenderedPageBreak/>
        <w:t>PDV-a, a sada od 1. svibnja 2023. g. iznosi 59,73 eura po toni bez PDV-a. Izbora nismo imali te smo naprijed navedenu suradnju po navedenim uvjetima morali dogovoriti.</w:t>
      </w:r>
    </w:p>
    <w:p w:rsidR="00C36067" w:rsidRDefault="00C36067" w:rsidP="00C3606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Dakle, n</w:t>
      </w:r>
      <w:r w:rsidRPr="001A2BF4">
        <w:rPr>
          <w:rFonts w:ascii="Times New Roman" w:hAnsi="Times New Roman" w:cs="Times New Roman"/>
          <w:sz w:val="24"/>
          <w:szCs w:val="24"/>
        </w:rPr>
        <w:t>a naš prijedlog cijene varijabilnog dijela računa tj. cijen</w:t>
      </w:r>
      <w:r>
        <w:rPr>
          <w:rFonts w:ascii="Times New Roman" w:hAnsi="Times New Roman" w:cs="Times New Roman"/>
          <w:sz w:val="24"/>
          <w:szCs w:val="24"/>
        </w:rPr>
        <w:t>e pražnjenja spremnika, utjecala je isključivo cijena deponiranja, koja se iz</w:t>
      </w:r>
      <w:r w:rsidR="00AB3B9F">
        <w:rPr>
          <w:rFonts w:ascii="Times New Roman" w:hAnsi="Times New Roman" w:cs="Times New Roman"/>
          <w:sz w:val="24"/>
          <w:szCs w:val="24"/>
        </w:rPr>
        <w:t>mijenila od dana 1. svibnja 2023</w:t>
      </w:r>
      <w:r w:rsidRPr="001A2BF4">
        <w:rPr>
          <w:rFonts w:ascii="Times New Roman" w:hAnsi="Times New Roman" w:cs="Times New Roman"/>
          <w:sz w:val="24"/>
          <w:szCs w:val="24"/>
        </w:rPr>
        <w:t>. g. tj. od dana od kada je na snazi aktualni cjenik:</w:t>
      </w:r>
    </w:p>
    <w:p w:rsidR="00C36067" w:rsidRPr="00E7658B" w:rsidRDefault="00C36067" w:rsidP="00C36067">
      <w:pPr>
        <w:pStyle w:val="Odlomakpopisa"/>
        <w:spacing w:after="0" w:line="240" w:lineRule="auto"/>
        <w:jc w:val="both"/>
        <w:rPr>
          <w:rFonts w:ascii="Times New Roman" w:hAnsi="Times New Roman" w:cs="Times New Roman"/>
          <w:sz w:val="24"/>
          <w:szCs w:val="24"/>
        </w:rPr>
      </w:pPr>
    </w:p>
    <w:p w:rsidR="00C36067" w:rsidRDefault="00C36067" w:rsidP="00C36067">
      <w:pPr>
        <w:pStyle w:val="Odlomakpopisa"/>
        <w:numPr>
          <w:ilvl w:val="0"/>
          <w:numId w:val="1"/>
        </w:numPr>
        <w:spacing w:after="0" w:line="240" w:lineRule="auto"/>
        <w:jc w:val="both"/>
        <w:rPr>
          <w:rFonts w:ascii="Times New Roman" w:hAnsi="Times New Roman" w:cs="Times New Roman"/>
          <w:b/>
          <w:sz w:val="24"/>
          <w:szCs w:val="24"/>
        </w:rPr>
      </w:pPr>
      <w:r w:rsidRPr="00C240BF">
        <w:rPr>
          <w:rFonts w:ascii="Times New Roman" w:hAnsi="Times New Roman" w:cs="Times New Roman"/>
          <w:b/>
          <w:sz w:val="24"/>
          <w:szCs w:val="24"/>
        </w:rPr>
        <w:t xml:space="preserve">cijena deponiranja otpada od </w:t>
      </w:r>
      <w:r w:rsidR="00AB3B9F">
        <w:rPr>
          <w:rFonts w:ascii="Times New Roman" w:hAnsi="Times New Roman" w:cs="Times New Roman"/>
          <w:b/>
          <w:sz w:val="24"/>
          <w:szCs w:val="24"/>
        </w:rPr>
        <w:t>01.5.2023</w:t>
      </w:r>
      <w:r w:rsidRPr="00C240BF">
        <w:rPr>
          <w:rFonts w:ascii="Times New Roman" w:hAnsi="Times New Roman" w:cs="Times New Roman"/>
          <w:b/>
          <w:sz w:val="24"/>
          <w:szCs w:val="24"/>
        </w:rPr>
        <w:t xml:space="preserve">. g. </w:t>
      </w:r>
      <w:r>
        <w:rPr>
          <w:rFonts w:ascii="Times New Roman" w:hAnsi="Times New Roman" w:cs="Times New Roman"/>
          <w:b/>
          <w:sz w:val="24"/>
          <w:szCs w:val="24"/>
        </w:rPr>
        <w:t xml:space="preserve">tj. </w:t>
      </w:r>
      <w:r w:rsidRPr="0043360D">
        <w:rPr>
          <w:rFonts w:ascii="Times New Roman" w:hAnsi="Times New Roman" w:cs="Times New Roman"/>
          <w:b/>
          <w:sz w:val="24"/>
          <w:szCs w:val="24"/>
        </w:rPr>
        <w:t>od dana od kada je na snazi aktualni cjenik</w:t>
      </w:r>
      <w:r w:rsidRPr="00C240BF">
        <w:rPr>
          <w:rFonts w:ascii="Times New Roman" w:hAnsi="Times New Roman" w:cs="Times New Roman"/>
          <w:b/>
          <w:sz w:val="24"/>
          <w:szCs w:val="24"/>
        </w:rPr>
        <w:t xml:space="preserve"> je porasla sa </w:t>
      </w:r>
      <w:r>
        <w:rPr>
          <w:rFonts w:ascii="Times New Roman" w:hAnsi="Times New Roman" w:cs="Times New Roman"/>
          <w:b/>
          <w:sz w:val="24"/>
          <w:szCs w:val="24"/>
        </w:rPr>
        <w:t>30,00 EUR/t</w:t>
      </w:r>
      <w:r w:rsidRPr="00C240BF">
        <w:rPr>
          <w:rFonts w:ascii="Times New Roman" w:hAnsi="Times New Roman" w:cs="Times New Roman"/>
          <w:b/>
          <w:sz w:val="24"/>
          <w:szCs w:val="24"/>
        </w:rPr>
        <w:t xml:space="preserve"> na sadašnjih </w:t>
      </w:r>
      <w:r>
        <w:rPr>
          <w:rFonts w:ascii="Times New Roman" w:hAnsi="Times New Roman" w:cs="Times New Roman"/>
          <w:b/>
          <w:sz w:val="24"/>
          <w:szCs w:val="24"/>
        </w:rPr>
        <w:t>59,73 EUR/t, koja cijena je na snazi od 01.05.2023. g.</w:t>
      </w:r>
      <w:r w:rsidRPr="00C240BF">
        <w:rPr>
          <w:rFonts w:ascii="Times New Roman" w:hAnsi="Times New Roman" w:cs="Times New Roman"/>
          <w:b/>
          <w:sz w:val="24"/>
          <w:szCs w:val="24"/>
        </w:rPr>
        <w:t xml:space="preserve">, što predstavlja povećanje od </w:t>
      </w:r>
      <w:r>
        <w:rPr>
          <w:rFonts w:ascii="Times New Roman" w:hAnsi="Times New Roman" w:cs="Times New Roman"/>
          <w:b/>
          <w:sz w:val="24"/>
          <w:szCs w:val="24"/>
        </w:rPr>
        <w:t>preko 99,00 %.</w:t>
      </w:r>
    </w:p>
    <w:p w:rsidR="00C36067" w:rsidRDefault="00C36067" w:rsidP="00C36067">
      <w:pPr>
        <w:spacing w:after="0" w:line="240" w:lineRule="auto"/>
        <w:jc w:val="both"/>
        <w:rPr>
          <w:rFonts w:ascii="Times New Roman" w:hAnsi="Times New Roman" w:cs="Times New Roman"/>
          <w:sz w:val="24"/>
          <w:szCs w:val="24"/>
        </w:rPr>
      </w:pPr>
    </w:p>
    <w:p w:rsidR="00C36067" w:rsidRPr="0004268B" w:rsidRDefault="00C36067" w:rsidP="00C36067">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Nadalje ističemo kako ovim povećanjem cijena, a temeljem načela „onečišćivač plaća“ iz čl. 7. Zakona o gospodarenju otpadom (NN broj 84/21), višom cijenom pražnjenja spremnika za miješani komunalni otpad, vršimo i pozitivan pritisak na korisnike usluge da što više odvajaju otpad na kućnom pragu (omogućeno odvajanje plastike, papira, metala, stakla, tekstila, biotpada) i što manje iznose spremnik za miješani komunalni otpad na pražnjenje te će samim time i manju cijenu usluge u konačnici plaćati, a također će se i manje otpada zbrinuti na odlagalištima otpada što je smisao te zakonske odredbe i benefit za cijelu zajednicu i očuvanje okoliša kao konačan cilj.</w:t>
      </w:r>
    </w:p>
    <w:p w:rsidR="00C36067" w:rsidRPr="0004268B" w:rsidRDefault="00C36067" w:rsidP="00C36067">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Naglašavamo kako smo uvidom u naše statističke izvještaje ustanovili pozitivan trend kod naših korisnika u smislu smanjivanja broja pražnjenja zelenog spremnika sa dva puta mjesečno na 1,7 puta mjesečno u prva tri mjeseca ove godine.</w:t>
      </w:r>
    </w:p>
    <w:p w:rsidR="00C36067" w:rsidRPr="001A2BF4" w:rsidRDefault="00C36067" w:rsidP="00C3606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Pr="001A2BF4">
        <w:rPr>
          <w:rFonts w:ascii="Times New Roman" w:hAnsi="Times New Roman" w:cs="Times New Roman"/>
          <w:sz w:val="24"/>
          <w:szCs w:val="24"/>
        </w:rPr>
        <w:t xml:space="preserve">ukladno naprijed navedenom, naš prijedlog cijene pražnjenja spremnika zapremnine 120 L (varijabilni dio računa) koji iznosi sadašnjih </w:t>
      </w:r>
      <w:r>
        <w:rPr>
          <w:rFonts w:ascii="Times New Roman" w:hAnsi="Times New Roman" w:cs="Times New Roman"/>
          <w:sz w:val="24"/>
          <w:szCs w:val="24"/>
        </w:rPr>
        <w:t>1,45</w:t>
      </w:r>
      <w:r w:rsidRPr="00432D9E">
        <w:rPr>
          <w:rFonts w:ascii="Times New Roman" w:hAnsi="Times New Roman" w:cs="Times New Roman"/>
          <w:sz w:val="24"/>
          <w:szCs w:val="24"/>
        </w:rPr>
        <w:t xml:space="preserve"> EUR-a (</w:t>
      </w:r>
      <w:r>
        <w:rPr>
          <w:rFonts w:ascii="Times New Roman" w:hAnsi="Times New Roman" w:cs="Times New Roman"/>
          <w:sz w:val="24"/>
          <w:szCs w:val="24"/>
        </w:rPr>
        <w:t>10,93</w:t>
      </w:r>
      <w:r w:rsidRPr="00432D9E">
        <w:rPr>
          <w:rFonts w:ascii="Times New Roman" w:hAnsi="Times New Roman" w:cs="Times New Roman"/>
          <w:sz w:val="24"/>
          <w:szCs w:val="24"/>
        </w:rPr>
        <w:t xml:space="preserve"> kn) sa PDV-om</w:t>
      </w:r>
      <w:r w:rsidRPr="001A2BF4">
        <w:rPr>
          <w:rFonts w:ascii="Times New Roman" w:hAnsi="Times New Roman" w:cs="Times New Roman"/>
          <w:sz w:val="24"/>
          <w:szCs w:val="24"/>
        </w:rPr>
        <w:t xml:space="preserve"> za korisnike u kategoriji kućanstvo – potkategorija obiteljske</w:t>
      </w:r>
      <w:r>
        <w:rPr>
          <w:rFonts w:ascii="Times New Roman" w:hAnsi="Times New Roman" w:cs="Times New Roman"/>
          <w:sz w:val="24"/>
          <w:szCs w:val="24"/>
        </w:rPr>
        <w:t xml:space="preserve"> kuće, jest novčani iznos od 2,50</w:t>
      </w:r>
      <w:r w:rsidRPr="001A2BF4">
        <w:rPr>
          <w:rFonts w:ascii="Times New Roman" w:hAnsi="Times New Roman" w:cs="Times New Roman"/>
          <w:sz w:val="24"/>
          <w:szCs w:val="24"/>
        </w:rPr>
        <w:t xml:space="preserve"> EUR-a (</w:t>
      </w:r>
      <w:r>
        <w:rPr>
          <w:rFonts w:ascii="Times New Roman" w:hAnsi="Times New Roman" w:cs="Times New Roman"/>
          <w:sz w:val="24"/>
          <w:szCs w:val="24"/>
        </w:rPr>
        <w:t>18,84 kn</w:t>
      </w:r>
      <w:r w:rsidRPr="001A2BF4">
        <w:rPr>
          <w:rFonts w:ascii="Times New Roman" w:hAnsi="Times New Roman" w:cs="Times New Roman"/>
          <w:sz w:val="24"/>
          <w:szCs w:val="24"/>
        </w:rPr>
        <w:t xml:space="preserve">) sa PDV-om. Novčane iznose za spremnike od 80 l i 240 l i dr. kategorije korisnika navodimo u tablici u ranijem dijelu teksta. </w:t>
      </w:r>
    </w:p>
    <w:p w:rsidR="00C36067" w:rsidRPr="001A2BF4" w:rsidRDefault="00C36067" w:rsidP="00C36067">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ab/>
        <w:t xml:space="preserve">Novi Cjenik bi se, nakon dobivanja prethodne suglasnosti izvršnog tijela-načelnika </w:t>
      </w:r>
      <w:r>
        <w:rPr>
          <w:rFonts w:ascii="Times New Roman" w:hAnsi="Times New Roman" w:cs="Times New Roman"/>
          <w:sz w:val="24"/>
          <w:szCs w:val="24"/>
        </w:rPr>
        <w:t>Općine Andrijaševci</w:t>
      </w:r>
      <w:r w:rsidRPr="001A2BF4">
        <w:rPr>
          <w:rFonts w:ascii="Times New Roman" w:hAnsi="Times New Roman" w:cs="Times New Roman"/>
          <w:sz w:val="24"/>
          <w:szCs w:val="24"/>
        </w:rPr>
        <w:t xml:space="preserve">, počeo primjenjivati od dana 1. </w:t>
      </w:r>
      <w:r>
        <w:rPr>
          <w:rFonts w:ascii="Times New Roman" w:hAnsi="Times New Roman" w:cs="Times New Roman"/>
          <w:sz w:val="24"/>
          <w:szCs w:val="24"/>
        </w:rPr>
        <w:t xml:space="preserve">srpnja </w:t>
      </w:r>
      <w:r w:rsidRPr="001A2BF4">
        <w:rPr>
          <w:rFonts w:ascii="Times New Roman" w:hAnsi="Times New Roman" w:cs="Times New Roman"/>
          <w:sz w:val="24"/>
          <w:szCs w:val="24"/>
        </w:rPr>
        <w:t>2023. g..</w:t>
      </w:r>
    </w:p>
    <w:p w:rsidR="00C36067" w:rsidRDefault="00C36067" w:rsidP="00C36067">
      <w:pPr>
        <w:spacing w:after="0" w:line="240" w:lineRule="auto"/>
        <w:ind w:left="21" w:right="126" w:firstLine="687"/>
        <w:jc w:val="both"/>
      </w:pPr>
    </w:p>
    <w:p w:rsidR="00FA4BB8" w:rsidRDefault="00FA4BB8"/>
    <w:sectPr w:rsidR="00FA4B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0A" w:rsidRDefault="0055320A">
      <w:pPr>
        <w:spacing w:after="0" w:line="240" w:lineRule="auto"/>
      </w:pPr>
      <w:r>
        <w:separator/>
      </w:r>
    </w:p>
  </w:endnote>
  <w:endnote w:type="continuationSeparator" w:id="0">
    <w:p w:rsidR="0055320A" w:rsidRDefault="0055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C36067">
        <w:pPr>
          <w:pStyle w:val="Podnoje"/>
        </w:pPr>
        <w:r>
          <w:rPr>
            <w:noProof/>
            <w:lang w:eastAsia="hr-HR"/>
          </w:rPr>
          <mc:AlternateContent>
            <mc:Choice Requires="wps">
              <w:drawing>
                <wp:anchor distT="0" distB="0" distL="114300" distR="114300" simplePos="0" relativeHeight="251659264" behindDoc="0" locked="0" layoutInCell="1" allowOverlap="1" wp14:anchorId="300C7D05" wp14:editId="6A24E3B5">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C3606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A1A98" w:rsidRPr="00EA1A98">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C3606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A1A98" w:rsidRPr="00EA1A98">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0A" w:rsidRDefault="0055320A">
      <w:pPr>
        <w:spacing w:after="0" w:line="240" w:lineRule="auto"/>
      </w:pPr>
      <w:r>
        <w:separator/>
      </w:r>
    </w:p>
  </w:footnote>
  <w:footnote w:type="continuationSeparator" w:id="0">
    <w:p w:rsidR="0055320A" w:rsidRDefault="00553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C36067"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7DD8B314" wp14:editId="7D5B0EDB">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C36067"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NEVKOŠ d. o. o. za uslužne djelatnosti,  32 100 Vinkovci, Martina Ballinga 5,</w:t>
    </w:r>
  </w:p>
  <w:p w:rsidR="002D1CCC" w:rsidRPr="00C857CE" w:rsidRDefault="00C36067"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r>
      <w:rPr>
        <w:rFonts w:eastAsia="Times New Roman" w:cs="Times New Roman"/>
        <w:kern w:val="0"/>
        <w:sz w:val="20"/>
        <w:lang w:eastAsia="hr-HR" w:bidi="ar-SA"/>
      </w:rPr>
      <w:t>info@nevkos</w:t>
    </w:r>
    <w:r w:rsidRPr="00C857CE">
      <w:rPr>
        <w:rFonts w:eastAsia="Times New Roman" w:cs="Times New Roman"/>
        <w:kern w:val="0"/>
        <w:sz w:val="20"/>
        <w:lang w:eastAsia="hr-HR" w:bidi="ar-SA"/>
      </w:rPr>
      <w:t>.hr, OIB 76173743169, MB 3665224, IBAN: HR 40 2485003 110028 4924</w:t>
    </w:r>
  </w:p>
  <w:p w:rsidR="002D1CCC" w:rsidRDefault="0055320A">
    <w:pPr>
      <w:pStyle w:val="Zaglavlje"/>
    </w:pPr>
  </w:p>
  <w:p w:rsidR="002D1CCC" w:rsidRDefault="0055320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67"/>
    <w:rsid w:val="004E46E7"/>
    <w:rsid w:val="0055320A"/>
    <w:rsid w:val="00AB3B9F"/>
    <w:rsid w:val="00BA3538"/>
    <w:rsid w:val="00C36067"/>
    <w:rsid w:val="00DB6CFC"/>
    <w:rsid w:val="00EA1A98"/>
    <w:rsid w:val="00FA4B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6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C3606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360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6067"/>
  </w:style>
  <w:style w:type="paragraph" w:styleId="Podnoje">
    <w:name w:val="footer"/>
    <w:basedOn w:val="Normal"/>
    <w:link w:val="PodnojeChar"/>
    <w:uiPriority w:val="99"/>
    <w:unhideWhenUsed/>
    <w:rsid w:val="00C360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36067"/>
  </w:style>
  <w:style w:type="paragraph" w:customStyle="1" w:styleId="Standard">
    <w:name w:val="Standard"/>
    <w:rsid w:val="00C3606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Reetkatablice2">
    <w:name w:val="Rešetka tablice2"/>
    <w:basedOn w:val="Obinatablica"/>
    <w:next w:val="Reetkatablice"/>
    <w:uiPriority w:val="59"/>
    <w:rsid w:val="00C3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C3606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36067"/>
    <w:pPr>
      <w:ind w:left="720"/>
      <w:contextualSpacing/>
    </w:pPr>
  </w:style>
  <w:style w:type="table" w:styleId="Reetkatablice">
    <w:name w:val="Table Grid"/>
    <w:basedOn w:val="Obinatablica"/>
    <w:uiPriority w:val="59"/>
    <w:rsid w:val="00C3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360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6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6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C3606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360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6067"/>
  </w:style>
  <w:style w:type="paragraph" w:styleId="Podnoje">
    <w:name w:val="footer"/>
    <w:basedOn w:val="Normal"/>
    <w:link w:val="PodnojeChar"/>
    <w:uiPriority w:val="99"/>
    <w:unhideWhenUsed/>
    <w:rsid w:val="00C360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36067"/>
  </w:style>
  <w:style w:type="paragraph" w:customStyle="1" w:styleId="Standard">
    <w:name w:val="Standard"/>
    <w:rsid w:val="00C3606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Reetkatablice2">
    <w:name w:val="Rešetka tablice2"/>
    <w:basedOn w:val="Obinatablica"/>
    <w:next w:val="Reetkatablice"/>
    <w:uiPriority w:val="59"/>
    <w:rsid w:val="00C3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C3606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36067"/>
    <w:pPr>
      <w:ind w:left="720"/>
      <w:contextualSpacing/>
    </w:pPr>
  </w:style>
  <w:style w:type="table" w:styleId="Reetkatablice">
    <w:name w:val="Table Grid"/>
    <w:basedOn w:val="Obinatablica"/>
    <w:uiPriority w:val="59"/>
    <w:rsid w:val="00C3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360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6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8649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4</cp:revision>
  <dcterms:created xsi:type="dcterms:W3CDTF">2023-05-08T10:27:00Z</dcterms:created>
  <dcterms:modified xsi:type="dcterms:W3CDTF">2023-05-17T05:31:00Z</dcterms:modified>
</cp:coreProperties>
</file>