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38A" w:rsidRPr="009B4C20" w:rsidRDefault="00DA438A" w:rsidP="00DA438A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  <w:u w:val="single"/>
        </w:rPr>
      </w:pPr>
      <w:r w:rsidRPr="009B4C20">
        <w:rPr>
          <w:rFonts w:ascii="Calibri" w:eastAsia="Calibri" w:hAnsi="Calibri" w:cs="Times New Roman"/>
          <w:b/>
          <w:sz w:val="36"/>
          <w:szCs w:val="36"/>
          <w:u w:val="single"/>
        </w:rPr>
        <w:t>PRIJEDLOG   C J E N I K A  pružanja javne usluge sakupljanja</w:t>
      </w:r>
    </w:p>
    <w:p w:rsidR="00DA438A" w:rsidRPr="009B4C20" w:rsidRDefault="00DA438A" w:rsidP="00DA438A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  <w:u w:val="single"/>
        </w:rPr>
      </w:pPr>
      <w:r w:rsidRPr="009B4C20"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komunalnog otpada </w:t>
      </w:r>
      <w:r>
        <w:rPr>
          <w:rFonts w:ascii="Calibri" w:eastAsia="Calibri" w:hAnsi="Calibri" w:cs="Times New Roman"/>
          <w:b/>
          <w:sz w:val="36"/>
          <w:szCs w:val="36"/>
          <w:u w:val="single"/>
        </w:rPr>
        <w:t>na području Općine Privlaka</w:t>
      </w:r>
      <w:r w:rsidRPr="009B4C20"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 s  datumom primjene od 01.07.2023. g. </w:t>
      </w:r>
    </w:p>
    <w:p w:rsidR="00DA438A" w:rsidRDefault="00DA438A" w:rsidP="00DA438A">
      <w:pPr>
        <w:spacing w:after="0" w:line="240" w:lineRule="auto"/>
        <w:jc w:val="center"/>
        <w:rPr>
          <w:rFonts w:ascii="Calibri" w:eastAsia="Calibri" w:hAnsi="Calibri" w:cs="Arial"/>
          <w:b/>
          <w:sz w:val="28"/>
          <w:szCs w:val="28"/>
          <w:u w:val="single"/>
          <w:lang w:eastAsia="hr-HR"/>
        </w:rPr>
      </w:pPr>
      <w:r w:rsidRPr="009B4C20"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– Javno savjetovanje sukladno čl. 77. st. </w:t>
      </w:r>
      <w:r w:rsidR="00794260"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3. </w:t>
      </w:r>
      <w:bookmarkStart w:id="0" w:name="_GoBack"/>
      <w:bookmarkEnd w:id="0"/>
      <w:r w:rsidRPr="009B4C20">
        <w:rPr>
          <w:rFonts w:ascii="Calibri" w:eastAsia="Calibri" w:hAnsi="Calibri" w:cs="Times New Roman"/>
          <w:b/>
          <w:sz w:val="36"/>
          <w:szCs w:val="36"/>
          <w:u w:val="single"/>
        </w:rPr>
        <w:t>Zakona o gospodarenju otpadom (NN broj 84/21)</w:t>
      </w:r>
    </w:p>
    <w:p w:rsidR="00DA438A" w:rsidRPr="00DD5EB3" w:rsidRDefault="00DA438A" w:rsidP="00DA438A">
      <w:pPr>
        <w:spacing w:after="0" w:line="240" w:lineRule="auto"/>
        <w:jc w:val="center"/>
        <w:rPr>
          <w:rFonts w:ascii="Calibri" w:eastAsia="Calibri" w:hAnsi="Calibri" w:cs="Arial"/>
          <w:b/>
          <w:sz w:val="28"/>
          <w:szCs w:val="28"/>
          <w:u w:val="single"/>
          <w:lang w:eastAsia="hr-HR"/>
        </w:rPr>
      </w:pPr>
    </w:p>
    <w:p w:rsidR="00DA438A" w:rsidRPr="00DD5EB3" w:rsidRDefault="00DA438A" w:rsidP="00DA438A">
      <w:pPr>
        <w:spacing w:after="0" w:line="240" w:lineRule="auto"/>
        <w:ind w:left="720"/>
        <w:contextualSpacing/>
        <w:rPr>
          <w:rFonts w:ascii="Times New Roman" w:eastAsia="Arial" w:hAnsi="Times New Roman" w:cs="Times New Roman"/>
          <w:color w:val="231F20"/>
          <w:lang w:eastAsia="hr-HR"/>
        </w:rPr>
      </w:pPr>
    </w:p>
    <w:p w:rsidR="00DA438A" w:rsidRPr="00577C63" w:rsidRDefault="00DA438A" w:rsidP="00DA438A">
      <w:pPr>
        <w:spacing w:after="0" w:line="240" w:lineRule="auto"/>
        <w:jc w:val="both"/>
        <w:rPr>
          <w:rFonts w:ascii="Times New Roman" w:eastAsia="Arial" w:hAnsi="Times New Roman" w:cs="Times New Roman"/>
          <w:color w:val="231F20"/>
          <w:lang w:eastAsia="hr-HR"/>
        </w:rPr>
      </w:pPr>
      <w:r w:rsidRPr="00577C63">
        <w:rPr>
          <w:rFonts w:ascii="Times New Roman" w:eastAsia="Arial" w:hAnsi="Times New Roman" w:cs="Times New Roman"/>
          <w:color w:val="231F20"/>
          <w:szCs w:val="20"/>
          <w:lang w:eastAsia="hr-HR"/>
        </w:rPr>
        <w:t xml:space="preserve">1.CIJENA OBVEZNE MINIMALNE JAVNE USLUGE (MJU) NA MJESEČNOJ BAZI (određena čl. 16. Odluke Općinskog vijeća o načinu pružanja javne usluge sakupljanja komunalnog otpada na području Općine </w:t>
      </w:r>
      <w:r>
        <w:rPr>
          <w:rFonts w:ascii="Times New Roman" w:eastAsia="Arial" w:hAnsi="Times New Roman" w:cs="Times New Roman"/>
          <w:color w:val="231F20"/>
          <w:szCs w:val="20"/>
          <w:lang w:eastAsia="hr-HR"/>
        </w:rPr>
        <w:t>Privlaka</w:t>
      </w:r>
      <w:r w:rsidRPr="00577C63">
        <w:rPr>
          <w:rFonts w:ascii="Times New Roman" w:eastAsia="Arial" w:hAnsi="Times New Roman" w:cs="Times New Roman"/>
          <w:color w:val="231F20"/>
          <w:szCs w:val="20"/>
          <w:lang w:eastAsia="hr-HR"/>
        </w:rPr>
        <w:t xml:space="preserve"> od dana </w:t>
      </w:r>
      <w:r>
        <w:rPr>
          <w:rFonts w:ascii="Times New Roman" w:eastAsia="Arial" w:hAnsi="Times New Roman" w:cs="Times New Roman"/>
          <w:color w:val="231F20"/>
          <w:szCs w:val="20"/>
          <w:lang w:eastAsia="hr-HR"/>
        </w:rPr>
        <w:t>31</w:t>
      </w:r>
      <w:r w:rsidRPr="00577C63">
        <w:rPr>
          <w:rFonts w:ascii="Times New Roman" w:eastAsia="Arial" w:hAnsi="Times New Roman" w:cs="Times New Roman"/>
          <w:color w:val="231F20"/>
          <w:szCs w:val="20"/>
          <w:lang w:eastAsia="hr-HR"/>
        </w:rPr>
        <w:t xml:space="preserve">. siječnja 2022. g., KLASA: </w:t>
      </w:r>
      <w:r>
        <w:rPr>
          <w:rFonts w:ascii="Times New Roman" w:eastAsia="Arial" w:hAnsi="Times New Roman" w:cs="Times New Roman"/>
          <w:color w:val="231F20"/>
          <w:szCs w:val="20"/>
          <w:lang w:eastAsia="hr-HR"/>
        </w:rPr>
        <w:t>024-04/22-01/01</w:t>
      </w:r>
      <w:r w:rsidRPr="00577C63">
        <w:rPr>
          <w:rFonts w:ascii="Times New Roman" w:eastAsia="Arial" w:hAnsi="Times New Roman" w:cs="Times New Roman"/>
          <w:color w:val="231F20"/>
          <w:szCs w:val="20"/>
          <w:lang w:eastAsia="hr-HR"/>
        </w:rPr>
        <w:t>, URBROJ: 2196-</w:t>
      </w:r>
      <w:r>
        <w:rPr>
          <w:rFonts w:ascii="Times New Roman" w:eastAsia="Arial" w:hAnsi="Times New Roman" w:cs="Times New Roman"/>
          <w:color w:val="231F20"/>
          <w:szCs w:val="20"/>
          <w:lang w:eastAsia="hr-HR"/>
        </w:rPr>
        <w:t>22-03-22-3</w:t>
      </w:r>
      <w:r w:rsidRPr="00577C63">
        <w:rPr>
          <w:rFonts w:ascii="Times New Roman" w:eastAsia="Calibri" w:hAnsi="Times New Roman" w:cs="Times New Roman"/>
          <w:lang w:eastAsia="hr-HR"/>
        </w:rPr>
        <w:t>)</w:t>
      </w:r>
      <w:r w:rsidRPr="00577C63">
        <w:rPr>
          <w:rFonts w:ascii="Times New Roman" w:eastAsia="Arial" w:hAnsi="Times New Roman" w:cs="Times New Roman"/>
          <w:color w:val="231F20"/>
          <w:szCs w:val="20"/>
          <w:lang w:eastAsia="hr-HR"/>
        </w:rPr>
        <w:t>:</w:t>
      </w:r>
    </w:p>
    <w:p w:rsidR="00DA438A" w:rsidRPr="00577C63" w:rsidRDefault="00DA438A" w:rsidP="00DA438A">
      <w:pPr>
        <w:spacing w:after="0" w:line="240" w:lineRule="auto"/>
        <w:rPr>
          <w:rFonts w:ascii="Times New Roman" w:eastAsia="Arial" w:hAnsi="Times New Roman" w:cs="Times New Roman"/>
          <w:color w:val="231F20"/>
          <w:sz w:val="24"/>
          <w:szCs w:val="24"/>
          <w:lang w:eastAsia="hr-HR"/>
        </w:rPr>
      </w:pPr>
    </w:p>
    <w:tbl>
      <w:tblPr>
        <w:tblStyle w:val="Reetkatablice2"/>
        <w:tblW w:w="0" w:type="auto"/>
        <w:tblLook w:val="04A0" w:firstRow="1" w:lastRow="0" w:firstColumn="1" w:lastColumn="0" w:noHBand="0" w:noVBand="1"/>
      </w:tblPr>
      <w:tblGrid>
        <w:gridCol w:w="3399"/>
        <w:gridCol w:w="1967"/>
        <w:gridCol w:w="1859"/>
        <w:gridCol w:w="1837"/>
      </w:tblGrid>
      <w:tr w:rsidR="00DA438A" w:rsidRPr="00577C63" w:rsidTr="00D706F4">
        <w:trPr>
          <w:trHeight w:val="487"/>
        </w:trPr>
        <w:tc>
          <w:tcPr>
            <w:tcW w:w="3399" w:type="dxa"/>
          </w:tcPr>
          <w:p w:rsidR="00DA438A" w:rsidRPr="00577C63" w:rsidRDefault="00DA438A" w:rsidP="00D706F4">
            <w:pPr>
              <w:jc w:val="both"/>
            </w:pPr>
            <w:r w:rsidRPr="00577C63">
              <w:t>Korisnici usluge - kategorija</w:t>
            </w:r>
          </w:p>
          <w:p w:rsidR="00DA438A" w:rsidRPr="00577C63" w:rsidRDefault="00DA438A" w:rsidP="00D706F4">
            <w:pPr>
              <w:jc w:val="both"/>
            </w:pPr>
          </w:p>
        </w:tc>
        <w:tc>
          <w:tcPr>
            <w:tcW w:w="1967" w:type="dxa"/>
          </w:tcPr>
          <w:p w:rsidR="00DA438A" w:rsidRPr="00577C63" w:rsidRDefault="00DA438A" w:rsidP="00D706F4">
            <w:pPr>
              <w:jc w:val="both"/>
            </w:pPr>
            <w:r w:rsidRPr="00577C63">
              <w:t>Cijena bez PDV-a</w:t>
            </w:r>
          </w:p>
          <w:p w:rsidR="00DA438A" w:rsidRPr="00577C63" w:rsidRDefault="00DA438A" w:rsidP="00D706F4">
            <w:pPr>
              <w:jc w:val="both"/>
            </w:pPr>
            <w:r w:rsidRPr="00577C63">
              <w:t>EUR</w:t>
            </w:r>
          </w:p>
        </w:tc>
        <w:tc>
          <w:tcPr>
            <w:tcW w:w="1859" w:type="dxa"/>
          </w:tcPr>
          <w:p w:rsidR="00DA438A" w:rsidRPr="00577C63" w:rsidRDefault="00DA438A" w:rsidP="00D706F4">
            <w:pPr>
              <w:jc w:val="both"/>
            </w:pPr>
            <w:r w:rsidRPr="00577C63">
              <w:t>Iznos PDV-a (13%)</w:t>
            </w:r>
          </w:p>
          <w:p w:rsidR="00DA438A" w:rsidRPr="00577C63" w:rsidRDefault="00DA438A" w:rsidP="00D706F4">
            <w:pPr>
              <w:jc w:val="both"/>
            </w:pPr>
            <w:r w:rsidRPr="00577C63">
              <w:t>EUR</w:t>
            </w:r>
          </w:p>
        </w:tc>
        <w:tc>
          <w:tcPr>
            <w:tcW w:w="1837" w:type="dxa"/>
          </w:tcPr>
          <w:p w:rsidR="00DA438A" w:rsidRPr="00577C63" w:rsidRDefault="00DA438A" w:rsidP="00D706F4">
            <w:pPr>
              <w:jc w:val="both"/>
            </w:pPr>
            <w:r w:rsidRPr="00577C63">
              <w:t>Ukupna cijena sa PDV-om - EUR</w:t>
            </w:r>
          </w:p>
        </w:tc>
      </w:tr>
      <w:tr w:rsidR="00DA438A" w:rsidRPr="00577C63" w:rsidTr="00D706F4">
        <w:trPr>
          <w:trHeight w:val="410"/>
        </w:trPr>
        <w:tc>
          <w:tcPr>
            <w:tcW w:w="3399" w:type="dxa"/>
          </w:tcPr>
          <w:p w:rsidR="00DA438A" w:rsidRPr="00577C63" w:rsidRDefault="00DA438A" w:rsidP="00D706F4">
            <w:pPr>
              <w:jc w:val="both"/>
            </w:pPr>
            <w:r w:rsidRPr="00577C63">
              <w:t>Korisnici usluge kategorija kućanstvo</w:t>
            </w:r>
          </w:p>
          <w:p w:rsidR="00DA438A" w:rsidRPr="00577C63" w:rsidRDefault="00DA438A" w:rsidP="00D706F4">
            <w:pPr>
              <w:jc w:val="both"/>
            </w:pPr>
          </w:p>
        </w:tc>
        <w:tc>
          <w:tcPr>
            <w:tcW w:w="1967" w:type="dxa"/>
          </w:tcPr>
          <w:p w:rsidR="00DA438A" w:rsidRPr="00A32A7B" w:rsidRDefault="00DA438A" w:rsidP="00D706F4">
            <w:pPr>
              <w:tabs>
                <w:tab w:val="right" w:pos="1769"/>
              </w:tabs>
              <w:jc w:val="both"/>
              <w:rPr>
                <w:rFonts w:ascii="Calibri" w:eastAsia="Calibri" w:hAnsi="Calibri" w:cs="Times New Roman"/>
              </w:rPr>
            </w:pPr>
            <w:r w:rsidRPr="00A32A7B">
              <w:rPr>
                <w:rFonts w:ascii="Calibri" w:eastAsia="Calibri" w:hAnsi="Calibri" w:cs="Times New Roman"/>
              </w:rPr>
              <w:t>6,53</w:t>
            </w:r>
            <w:r w:rsidRPr="00A32A7B">
              <w:rPr>
                <w:rFonts w:ascii="Calibri" w:eastAsia="Calibri" w:hAnsi="Calibri" w:cs="Times New Roman"/>
              </w:rPr>
              <w:tab/>
            </w:r>
          </w:p>
        </w:tc>
        <w:tc>
          <w:tcPr>
            <w:tcW w:w="1859" w:type="dxa"/>
          </w:tcPr>
          <w:p w:rsidR="00DA438A" w:rsidRPr="00A32A7B" w:rsidRDefault="00DA438A" w:rsidP="00D706F4">
            <w:pPr>
              <w:jc w:val="both"/>
              <w:rPr>
                <w:rFonts w:ascii="Calibri" w:eastAsia="Calibri" w:hAnsi="Calibri" w:cs="Times New Roman"/>
              </w:rPr>
            </w:pPr>
            <w:r w:rsidRPr="00A32A7B">
              <w:rPr>
                <w:rFonts w:ascii="Calibri" w:eastAsia="Calibri" w:hAnsi="Calibri" w:cs="Times New Roman"/>
              </w:rPr>
              <w:t>0,</w:t>
            </w:r>
            <w:r>
              <w:rPr>
                <w:rFonts w:ascii="Calibri" w:eastAsia="Calibri" w:hAnsi="Calibri" w:cs="Times New Roman"/>
              </w:rPr>
              <w:t>8</w:t>
            </w:r>
            <w:r w:rsidRPr="00A32A7B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837" w:type="dxa"/>
          </w:tcPr>
          <w:p w:rsidR="00DA438A" w:rsidRPr="00577C63" w:rsidRDefault="00DA438A" w:rsidP="00D706F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7,38</w:t>
            </w:r>
            <w:r w:rsidRPr="00577C63">
              <w:rPr>
                <w:rFonts w:ascii="Calibri" w:eastAsia="Calibri" w:hAnsi="Calibri" w:cs="Times New Roman"/>
              </w:rPr>
              <w:t xml:space="preserve"> </w:t>
            </w:r>
          </w:p>
          <w:p w:rsidR="00DA438A" w:rsidRPr="00577C63" w:rsidRDefault="00DA438A" w:rsidP="00D706F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55,60</w:t>
            </w:r>
            <w:r w:rsidRPr="00577C63">
              <w:rPr>
                <w:rFonts w:ascii="Calibri" w:eastAsia="Calibri" w:hAnsi="Calibri" w:cs="Times New Roman"/>
              </w:rPr>
              <w:t xml:space="preserve"> HRK</w:t>
            </w:r>
          </w:p>
        </w:tc>
      </w:tr>
      <w:tr w:rsidR="00DA438A" w:rsidRPr="00577C63" w:rsidTr="00D706F4">
        <w:trPr>
          <w:trHeight w:val="415"/>
        </w:trPr>
        <w:tc>
          <w:tcPr>
            <w:tcW w:w="3399" w:type="dxa"/>
          </w:tcPr>
          <w:p w:rsidR="00DA438A" w:rsidRPr="00577C63" w:rsidRDefault="00DA438A" w:rsidP="00D706F4">
            <w:pPr>
              <w:jc w:val="both"/>
            </w:pPr>
            <w:r w:rsidRPr="00577C63">
              <w:t>Korisnici usluge koji nisu kategorija kućanstvo</w:t>
            </w:r>
          </w:p>
        </w:tc>
        <w:tc>
          <w:tcPr>
            <w:tcW w:w="1967" w:type="dxa"/>
          </w:tcPr>
          <w:p w:rsidR="00DA438A" w:rsidRPr="00A32A7B" w:rsidRDefault="00DA438A" w:rsidP="00D706F4">
            <w:pPr>
              <w:tabs>
                <w:tab w:val="right" w:pos="1769"/>
              </w:tabs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6,53</w:t>
            </w:r>
            <w:r w:rsidRPr="00A32A7B">
              <w:rPr>
                <w:rFonts w:ascii="Calibri" w:eastAsia="Calibri" w:hAnsi="Calibri" w:cs="Times New Roman"/>
              </w:rPr>
              <w:tab/>
            </w:r>
          </w:p>
        </w:tc>
        <w:tc>
          <w:tcPr>
            <w:tcW w:w="1859" w:type="dxa"/>
          </w:tcPr>
          <w:p w:rsidR="00DA438A" w:rsidRPr="00A32A7B" w:rsidRDefault="00DA438A" w:rsidP="00D706F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0,85</w:t>
            </w:r>
          </w:p>
        </w:tc>
        <w:tc>
          <w:tcPr>
            <w:tcW w:w="1837" w:type="dxa"/>
          </w:tcPr>
          <w:p w:rsidR="00DA438A" w:rsidRPr="00577C63" w:rsidRDefault="00DA438A" w:rsidP="00D706F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7,38</w:t>
            </w:r>
          </w:p>
        </w:tc>
      </w:tr>
    </w:tbl>
    <w:p w:rsidR="00DA438A" w:rsidRPr="00577C63" w:rsidRDefault="00DA438A" w:rsidP="00DA438A">
      <w:pPr>
        <w:spacing w:after="0" w:line="240" w:lineRule="auto"/>
        <w:rPr>
          <w:rFonts w:ascii="Times New Roman" w:eastAsia="Arial" w:hAnsi="Times New Roman" w:cs="Times New Roman"/>
          <w:color w:val="231F20"/>
          <w:szCs w:val="20"/>
          <w:lang w:eastAsia="hr-HR"/>
        </w:rPr>
      </w:pPr>
    </w:p>
    <w:p w:rsidR="00DA438A" w:rsidRPr="00577C63" w:rsidRDefault="00DA438A" w:rsidP="00DA438A">
      <w:pPr>
        <w:spacing w:after="0" w:line="240" w:lineRule="auto"/>
        <w:rPr>
          <w:rFonts w:ascii="Times New Roman" w:eastAsia="Arial" w:hAnsi="Times New Roman" w:cs="Times New Roman"/>
          <w:color w:val="231F20"/>
          <w:szCs w:val="20"/>
          <w:lang w:eastAsia="hr-HR"/>
        </w:rPr>
      </w:pPr>
    </w:p>
    <w:p w:rsidR="00DA438A" w:rsidRPr="00577C63" w:rsidRDefault="00DA438A" w:rsidP="00DA438A">
      <w:pPr>
        <w:spacing w:after="0" w:line="240" w:lineRule="auto"/>
        <w:rPr>
          <w:rFonts w:ascii="Times New Roman" w:eastAsia="Arial" w:hAnsi="Times New Roman" w:cs="Times New Roman"/>
          <w:color w:val="231F20"/>
          <w:szCs w:val="20"/>
          <w:lang w:eastAsia="hr-HR"/>
        </w:rPr>
      </w:pPr>
    </w:p>
    <w:p w:rsidR="00DA438A" w:rsidRPr="00577C63" w:rsidRDefault="00DA438A" w:rsidP="00DA438A">
      <w:pPr>
        <w:spacing w:after="0" w:line="240" w:lineRule="auto"/>
        <w:jc w:val="both"/>
        <w:rPr>
          <w:rFonts w:ascii="Times New Roman" w:eastAsia="Arial" w:hAnsi="Times New Roman" w:cs="Times New Roman"/>
          <w:color w:val="231F20"/>
          <w:szCs w:val="20"/>
          <w:lang w:eastAsia="hr-HR"/>
        </w:rPr>
      </w:pPr>
      <w:r w:rsidRPr="00577C63">
        <w:rPr>
          <w:rFonts w:ascii="Times New Roman" w:eastAsia="Arial" w:hAnsi="Times New Roman" w:cs="Times New Roman"/>
          <w:color w:val="231F20"/>
          <w:szCs w:val="20"/>
          <w:lang w:eastAsia="hr-HR"/>
        </w:rPr>
        <w:t xml:space="preserve">2.KRITERIJ ZA UMANJENJE CIJENE OBVEZNE MINIMALNE JAVNE USLUGE (MJU) NA MJESEČNOJ BAZI KATEGORIJA KUĆANSTVO – POTKATEGORIJA OBITELJSKE KUĆE KOJI SAMI KOMPOSTIRAJU BIOOTPAD (određen čl. 17. </w:t>
      </w:r>
      <w:r w:rsidRPr="0076067A">
        <w:rPr>
          <w:rFonts w:ascii="Times New Roman" w:eastAsia="Arial" w:hAnsi="Times New Roman" w:cs="Times New Roman"/>
          <w:color w:val="231F20"/>
          <w:szCs w:val="20"/>
          <w:lang w:eastAsia="hr-HR"/>
        </w:rPr>
        <w:t>Odluke Općinskog vijeća o načinu pružanja javne usluge sakupljanja komunalnog otpada na području Općine Privlaka od dana 31. siječnja 2022. g., KLASA: 024-04/22-01/01, URBROJ: 2196-22-03-22-3</w:t>
      </w:r>
      <w:r w:rsidRPr="00577C63">
        <w:rPr>
          <w:rFonts w:ascii="Times New Roman" w:eastAsia="Arial" w:hAnsi="Times New Roman" w:cs="Times New Roman"/>
          <w:color w:val="231F20"/>
          <w:szCs w:val="20"/>
          <w:lang w:eastAsia="hr-HR"/>
        </w:rPr>
        <w:t>):</w:t>
      </w:r>
    </w:p>
    <w:p w:rsidR="00DA438A" w:rsidRPr="00577C63" w:rsidRDefault="00DA438A" w:rsidP="00DA438A">
      <w:pPr>
        <w:spacing w:after="0" w:line="240" w:lineRule="auto"/>
        <w:rPr>
          <w:rFonts w:ascii="Times New Roman" w:eastAsia="Arial" w:hAnsi="Times New Roman" w:cs="Times New Roman"/>
          <w:color w:val="231F20"/>
          <w:sz w:val="32"/>
          <w:szCs w:val="24"/>
          <w:lang w:eastAsia="hr-HR"/>
        </w:rPr>
      </w:pPr>
    </w:p>
    <w:tbl>
      <w:tblPr>
        <w:tblStyle w:val="Reetkatablice11"/>
        <w:tblW w:w="9209" w:type="dxa"/>
        <w:tblLook w:val="04A0" w:firstRow="1" w:lastRow="0" w:firstColumn="1" w:lastColumn="0" w:noHBand="0" w:noVBand="1"/>
      </w:tblPr>
      <w:tblGrid>
        <w:gridCol w:w="1394"/>
        <w:gridCol w:w="1437"/>
        <w:gridCol w:w="1700"/>
        <w:gridCol w:w="1560"/>
        <w:gridCol w:w="1417"/>
        <w:gridCol w:w="1701"/>
      </w:tblGrid>
      <w:tr w:rsidR="00DA438A" w:rsidRPr="00577C63" w:rsidTr="00D706F4">
        <w:trPr>
          <w:trHeight w:val="492"/>
        </w:trPr>
        <w:tc>
          <w:tcPr>
            <w:tcW w:w="4531" w:type="dxa"/>
            <w:gridSpan w:val="3"/>
          </w:tcPr>
          <w:p w:rsidR="00DA438A" w:rsidRPr="00577C63" w:rsidRDefault="00DA438A" w:rsidP="00D706F4">
            <w:pPr>
              <w:jc w:val="both"/>
              <w:rPr>
                <w:sz w:val="22"/>
              </w:rPr>
            </w:pPr>
            <w:r w:rsidRPr="00577C63">
              <w:rPr>
                <w:sz w:val="22"/>
              </w:rPr>
              <w:t xml:space="preserve">Cijena MJU za korisnike kategorije kućanstvo – potkategorije obiteljske kuće, koji sami kompostiraju biootpad  (kn) –iznos umanjenja cijene za </w:t>
            </w:r>
            <w:r>
              <w:rPr>
                <w:sz w:val="22"/>
              </w:rPr>
              <w:t>2,65 EUR s PDV-om od iznosa 7,38</w:t>
            </w:r>
            <w:r w:rsidRPr="00577C63">
              <w:rPr>
                <w:sz w:val="22"/>
              </w:rPr>
              <w:t xml:space="preserve"> EUR s PDV-om</w:t>
            </w:r>
          </w:p>
        </w:tc>
        <w:tc>
          <w:tcPr>
            <w:tcW w:w="4678" w:type="dxa"/>
            <w:gridSpan w:val="3"/>
          </w:tcPr>
          <w:p w:rsidR="00DA438A" w:rsidRPr="00577C63" w:rsidRDefault="00DA438A" w:rsidP="00D706F4">
            <w:pPr>
              <w:jc w:val="both"/>
              <w:rPr>
                <w:sz w:val="22"/>
              </w:rPr>
            </w:pPr>
            <w:r w:rsidRPr="00577C63">
              <w:rPr>
                <w:sz w:val="22"/>
              </w:rPr>
              <w:t>Cijena MJU za korisnike kategorije kućanstvo – potkategorije obiteljske kuće, koji sami ne kompostiraju biootpad (kn) – nema umanjenja cijene</w:t>
            </w:r>
          </w:p>
        </w:tc>
      </w:tr>
      <w:tr w:rsidR="00DA438A" w:rsidRPr="00577C63" w:rsidTr="00D706F4">
        <w:trPr>
          <w:trHeight w:val="492"/>
        </w:trPr>
        <w:tc>
          <w:tcPr>
            <w:tcW w:w="1394" w:type="dxa"/>
          </w:tcPr>
          <w:p w:rsidR="00DA438A" w:rsidRPr="00577C63" w:rsidRDefault="00DA438A" w:rsidP="00D706F4">
            <w:pPr>
              <w:jc w:val="both"/>
              <w:rPr>
                <w:sz w:val="22"/>
              </w:rPr>
            </w:pPr>
            <w:r w:rsidRPr="00577C63">
              <w:rPr>
                <w:sz w:val="22"/>
              </w:rPr>
              <w:t>Cijena bez PDV-a- EUR</w:t>
            </w:r>
          </w:p>
        </w:tc>
        <w:tc>
          <w:tcPr>
            <w:tcW w:w="1437" w:type="dxa"/>
          </w:tcPr>
          <w:p w:rsidR="00DA438A" w:rsidRPr="00577C63" w:rsidRDefault="00DA438A" w:rsidP="00D706F4">
            <w:pPr>
              <w:jc w:val="both"/>
              <w:rPr>
                <w:sz w:val="22"/>
              </w:rPr>
            </w:pPr>
            <w:r w:rsidRPr="00577C63">
              <w:rPr>
                <w:sz w:val="22"/>
              </w:rPr>
              <w:t>Iznos PDV-a (13%) EUR</w:t>
            </w:r>
          </w:p>
        </w:tc>
        <w:tc>
          <w:tcPr>
            <w:tcW w:w="1700" w:type="dxa"/>
          </w:tcPr>
          <w:p w:rsidR="00DA438A" w:rsidRPr="00577C63" w:rsidRDefault="00DA438A" w:rsidP="00D706F4">
            <w:pPr>
              <w:jc w:val="both"/>
              <w:rPr>
                <w:sz w:val="22"/>
              </w:rPr>
            </w:pPr>
            <w:r w:rsidRPr="00577C63">
              <w:rPr>
                <w:sz w:val="22"/>
              </w:rPr>
              <w:t>Ukupna cijena s PDV-om - EUR</w:t>
            </w:r>
          </w:p>
        </w:tc>
        <w:tc>
          <w:tcPr>
            <w:tcW w:w="1560" w:type="dxa"/>
          </w:tcPr>
          <w:p w:rsidR="00DA438A" w:rsidRPr="00577C63" w:rsidRDefault="00DA438A" w:rsidP="00D706F4">
            <w:pPr>
              <w:jc w:val="both"/>
              <w:rPr>
                <w:sz w:val="22"/>
              </w:rPr>
            </w:pPr>
            <w:r w:rsidRPr="00577C63">
              <w:rPr>
                <w:sz w:val="22"/>
              </w:rPr>
              <w:t>Cijena bez PDV-a - EUR</w:t>
            </w:r>
          </w:p>
        </w:tc>
        <w:tc>
          <w:tcPr>
            <w:tcW w:w="1417" w:type="dxa"/>
          </w:tcPr>
          <w:p w:rsidR="00DA438A" w:rsidRPr="00577C63" w:rsidRDefault="00DA438A" w:rsidP="00D706F4">
            <w:pPr>
              <w:jc w:val="both"/>
              <w:rPr>
                <w:sz w:val="22"/>
              </w:rPr>
            </w:pPr>
            <w:r w:rsidRPr="00577C63">
              <w:rPr>
                <w:sz w:val="22"/>
              </w:rPr>
              <w:t>Iznos PDV-a (13%) - EUR</w:t>
            </w:r>
          </w:p>
        </w:tc>
        <w:tc>
          <w:tcPr>
            <w:tcW w:w="1701" w:type="dxa"/>
          </w:tcPr>
          <w:p w:rsidR="00DA438A" w:rsidRPr="00577C63" w:rsidRDefault="00DA438A" w:rsidP="00D706F4">
            <w:pPr>
              <w:jc w:val="both"/>
              <w:rPr>
                <w:sz w:val="22"/>
              </w:rPr>
            </w:pPr>
            <w:r w:rsidRPr="00577C63">
              <w:rPr>
                <w:sz w:val="22"/>
              </w:rPr>
              <w:t>Ukupna cijena s PDV-om - EUR</w:t>
            </w:r>
          </w:p>
        </w:tc>
      </w:tr>
      <w:tr w:rsidR="00DA438A" w:rsidRPr="00577C63" w:rsidTr="00D706F4">
        <w:trPr>
          <w:trHeight w:val="414"/>
        </w:trPr>
        <w:tc>
          <w:tcPr>
            <w:tcW w:w="1394" w:type="dxa"/>
          </w:tcPr>
          <w:p w:rsidR="00DA438A" w:rsidRPr="005D15EE" w:rsidRDefault="00DA438A" w:rsidP="00D706F4">
            <w:pPr>
              <w:jc w:val="both"/>
              <w:rPr>
                <w:sz w:val="22"/>
              </w:rPr>
            </w:pPr>
            <w:r w:rsidRPr="005D15EE">
              <w:rPr>
                <w:sz w:val="22"/>
              </w:rPr>
              <w:t>4,19</w:t>
            </w:r>
          </w:p>
        </w:tc>
        <w:tc>
          <w:tcPr>
            <w:tcW w:w="1437" w:type="dxa"/>
          </w:tcPr>
          <w:p w:rsidR="00DA438A" w:rsidRPr="005D15EE" w:rsidRDefault="00DA438A" w:rsidP="00D706F4">
            <w:pPr>
              <w:jc w:val="both"/>
              <w:rPr>
                <w:sz w:val="22"/>
              </w:rPr>
            </w:pPr>
            <w:r w:rsidRPr="005D15EE">
              <w:rPr>
                <w:sz w:val="22"/>
              </w:rPr>
              <w:t>0,54</w:t>
            </w:r>
          </w:p>
          <w:p w:rsidR="00DA438A" w:rsidRPr="005D15EE" w:rsidRDefault="00DA438A" w:rsidP="00D706F4">
            <w:pPr>
              <w:jc w:val="both"/>
              <w:rPr>
                <w:sz w:val="22"/>
              </w:rPr>
            </w:pPr>
          </w:p>
        </w:tc>
        <w:tc>
          <w:tcPr>
            <w:tcW w:w="1700" w:type="dxa"/>
          </w:tcPr>
          <w:p w:rsidR="00DA438A" w:rsidRPr="005D15EE" w:rsidRDefault="00DA438A" w:rsidP="00D706F4">
            <w:pPr>
              <w:jc w:val="both"/>
              <w:rPr>
                <w:sz w:val="22"/>
              </w:rPr>
            </w:pPr>
            <w:r w:rsidRPr="005D15EE">
              <w:rPr>
                <w:sz w:val="22"/>
              </w:rPr>
              <w:t xml:space="preserve">  4,73</w:t>
            </w:r>
          </w:p>
          <w:p w:rsidR="00DA438A" w:rsidRPr="005D15EE" w:rsidRDefault="00DA438A" w:rsidP="00D706F4">
            <w:pPr>
              <w:jc w:val="both"/>
              <w:rPr>
                <w:sz w:val="22"/>
              </w:rPr>
            </w:pPr>
            <w:r w:rsidRPr="005D15EE">
              <w:rPr>
                <w:sz w:val="22"/>
              </w:rPr>
              <w:t>35,64 HRK</w:t>
            </w:r>
          </w:p>
          <w:p w:rsidR="00DA438A" w:rsidRPr="005D15EE" w:rsidRDefault="00DA438A" w:rsidP="00D706F4">
            <w:pPr>
              <w:jc w:val="both"/>
              <w:rPr>
                <w:sz w:val="22"/>
              </w:rPr>
            </w:pPr>
          </w:p>
        </w:tc>
        <w:tc>
          <w:tcPr>
            <w:tcW w:w="1560" w:type="dxa"/>
          </w:tcPr>
          <w:p w:rsidR="00DA438A" w:rsidRPr="00A32A7B" w:rsidRDefault="00DA438A" w:rsidP="00D706F4">
            <w:pPr>
              <w:tabs>
                <w:tab w:val="right" w:pos="1769"/>
              </w:tabs>
              <w:jc w:val="both"/>
              <w:rPr>
                <w:rFonts w:eastAsia="Calibri"/>
                <w:sz w:val="22"/>
              </w:rPr>
            </w:pPr>
            <w:r w:rsidRPr="00A32A7B">
              <w:rPr>
                <w:rFonts w:eastAsia="Calibri"/>
                <w:sz w:val="22"/>
              </w:rPr>
              <w:t>6,53</w:t>
            </w:r>
          </w:p>
        </w:tc>
        <w:tc>
          <w:tcPr>
            <w:tcW w:w="1417" w:type="dxa"/>
          </w:tcPr>
          <w:p w:rsidR="00DA438A" w:rsidRPr="00A32A7B" w:rsidRDefault="00DA438A" w:rsidP="00D706F4">
            <w:pPr>
              <w:jc w:val="both"/>
              <w:rPr>
                <w:rFonts w:eastAsia="Calibri"/>
                <w:sz w:val="22"/>
              </w:rPr>
            </w:pPr>
            <w:r w:rsidRPr="00A32A7B">
              <w:rPr>
                <w:rFonts w:eastAsia="Calibri"/>
                <w:sz w:val="22"/>
              </w:rPr>
              <w:t>0,</w:t>
            </w:r>
            <w:r>
              <w:rPr>
                <w:rFonts w:eastAsia="Calibri"/>
                <w:sz w:val="22"/>
              </w:rPr>
              <w:t>8</w:t>
            </w:r>
            <w:r w:rsidRPr="00A32A7B">
              <w:rPr>
                <w:rFonts w:eastAsia="Calibri"/>
                <w:sz w:val="22"/>
              </w:rPr>
              <w:t>5</w:t>
            </w:r>
          </w:p>
        </w:tc>
        <w:tc>
          <w:tcPr>
            <w:tcW w:w="1701" w:type="dxa"/>
          </w:tcPr>
          <w:p w:rsidR="00DA438A" w:rsidRPr="00577C63" w:rsidRDefault="00DA438A" w:rsidP="00D706F4">
            <w:pPr>
              <w:jc w:val="both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7,38</w:t>
            </w:r>
            <w:r w:rsidRPr="00577C63">
              <w:rPr>
                <w:rFonts w:eastAsia="Calibri"/>
                <w:sz w:val="22"/>
              </w:rPr>
              <w:t xml:space="preserve"> </w:t>
            </w:r>
          </w:p>
          <w:p w:rsidR="00DA438A" w:rsidRPr="00577C63" w:rsidRDefault="00DA438A" w:rsidP="00D706F4">
            <w:pPr>
              <w:jc w:val="both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55,60</w:t>
            </w:r>
            <w:r w:rsidRPr="00577C63">
              <w:rPr>
                <w:rFonts w:eastAsia="Calibri"/>
                <w:sz w:val="22"/>
              </w:rPr>
              <w:t xml:space="preserve"> HRK</w:t>
            </w:r>
          </w:p>
          <w:p w:rsidR="00DA438A" w:rsidRPr="00577C63" w:rsidRDefault="00DA438A" w:rsidP="00D706F4">
            <w:pPr>
              <w:jc w:val="both"/>
              <w:rPr>
                <w:rFonts w:eastAsia="Calibri"/>
                <w:sz w:val="22"/>
              </w:rPr>
            </w:pPr>
            <w:r w:rsidRPr="00577C63">
              <w:rPr>
                <w:rFonts w:eastAsia="Calibri"/>
                <w:sz w:val="22"/>
              </w:rPr>
              <w:t xml:space="preserve">  </w:t>
            </w:r>
          </w:p>
        </w:tc>
      </w:tr>
    </w:tbl>
    <w:p w:rsidR="00DA438A" w:rsidRPr="00577C63" w:rsidRDefault="00DA438A" w:rsidP="00DA438A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hr-HR"/>
        </w:rPr>
      </w:pPr>
    </w:p>
    <w:p w:rsidR="00DA438A" w:rsidRPr="00577C63" w:rsidRDefault="00DA438A" w:rsidP="00DA438A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hr-HR"/>
        </w:rPr>
      </w:pPr>
    </w:p>
    <w:p w:rsidR="00DA438A" w:rsidRPr="00577C63" w:rsidRDefault="00DA438A" w:rsidP="00DA438A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hr-HR"/>
        </w:rPr>
      </w:pPr>
    </w:p>
    <w:p w:rsidR="00DA438A" w:rsidRPr="00577C63" w:rsidRDefault="00DA438A" w:rsidP="00DA438A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hr-HR"/>
        </w:rPr>
      </w:pPr>
    </w:p>
    <w:p w:rsidR="00DA438A" w:rsidRPr="00577C63" w:rsidRDefault="00DA438A" w:rsidP="00DA438A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hr-HR"/>
        </w:rPr>
      </w:pPr>
    </w:p>
    <w:p w:rsidR="00DA438A" w:rsidRPr="00577C63" w:rsidRDefault="00DA438A" w:rsidP="00DA438A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hr-HR"/>
        </w:rPr>
      </w:pPr>
    </w:p>
    <w:p w:rsidR="00DA438A" w:rsidRPr="00577C63" w:rsidRDefault="00DA438A" w:rsidP="00DA438A">
      <w:r w:rsidRPr="00577C63">
        <w:rPr>
          <w:rFonts w:ascii="Times New Roman" w:hAnsi="Times New Roman" w:cs="Times New Roman"/>
        </w:rPr>
        <w:t xml:space="preserve">3.KRITERIJ ZA UMANJENJE CIJENE OBVEZNE MINIMALNE JAVNE USLUGE (MJU) NA MJESEČNOJ BAZI KATEGORIJA KUĆANSTVO – POTKATEGORIJA ETAŽNI STANOVI (određena čl. 17. </w:t>
      </w:r>
      <w:r w:rsidRPr="0076067A">
        <w:rPr>
          <w:rFonts w:ascii="Times New Roman" w:hAnsi="Times New Roman" w:cs="Times New Roman"/>
        </w:rPr>
        <w:t>Odluke Općinskog vijeća o načinu pružanja javne usluge sakupljanja komunalnog otpada na području Općine Privlaka od dana 31. siječnja 2022. g., KLASA: 024-04/22-01/01, URBROJ: 2196-22-03-22-3</w:t>
      </w:r>
      <w:r w:rsidRPr="00577C63">
        <w:rPr>
          <w:rFonts w:ascii="Times New Roman" w:hAnsi="Times New Roman" w:cs="Times New Roman"/>
        </w:rPr>
        <w:t xml:space="preserve">): </w:t>
      </w:r>
    </w:p>
    <w:tbl>
      <w:tblPr>
        <w:tblStyle w:val="Reetkatablice2"/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2126"/>
        <w:gridCol w:w="1667"/>
      </w:tblGrid>
      <w:tr w:rsidR="00DA438A" w:rsidRPr="00577C63" w:rsidTr="00D706F4">
        <w:trPr>
          <w:trHeight w:val="487"/>
        </w:trPr>
        <w:tc>
          <w:tcPr>
            <w:tcW w:w="3510" w:type="dxa"/>
          </w:tcPr>
          <w:p w:rsidR="00DA438A" w:rsidRPr="00577C63" w:rsidRDefault="00DA438A" w:rsidP="00D706F4">
            <w:pPr>
              <w:jc w:val="both"/>
            </w:pPr>
            <w:r w:rsidRPr="00577C63">
              <w:t>Korisnici MJU kategorija kućanstvo/potkategorija etažni stanovi/zajednički spremnik na obračunskom mjestu – obavezno svaki korisnik plaća –</w:t>
            </w:r>
            <w:r>
              <w:t xml:space="preserve"> umanjenje</w:t>
            </w:r>
            <w:r w:rsidRPr="00577C63">
              <w:t xml:space="preserve"> cijene za </w:t>
            </w:r>
            <w:r w:rsidRPr="0076067A">
              <w:t>2,65 EUR s PDV-om od iznosa 7,38 EUR s PDV-om</w:t>
            </w:r>
          </w:p>
        </w:tc>
        <w:tc>
          <w:tcPr>
            <w:tcW w:w="1985" w:type="dxa"/>
          </w:tcPr>
          <w:p w:rsidR="00DA438A" w:rsidRPr="00577C63" w:rsidRDefault="00DA438A" w:rsidP="00D706F4">
            <w:pPr>
              <w:jc w:val="center"/>
            </w:pPr>
            <w:r w:rsidRPr="00577C63">
              <w:t>Cijena bez PDV-a</w:t>
            </w:r>
          </w:p>
          <w:p w:rsidR="00DA438A" w:rsidRPr="00577C63" w:rsidRDefault="00DA438A" w:rsidP="00D706F4">
            <w:pPr>
              <w:jc w:val="center"/>
            </w:pPr>
            <w:r w:rsidRPr="00577C63">
              <w:t>EUR</w:t>
            </w:r>
          </w:p>
        </w:tc>
        <w:tc>
          <w:tcPr>
            <w:tcW w:w="2126" w:type="dxa"/>
          </w:tcPr>
          <w:p w:rsidR="00DA438A" w:rsidRPr="00577C63" w:rsidRDefault="00DA438A" w:rsidP="00D706F4">
            <w:pPr>
              <w:jc w:val="center"/>
            </w:pPr>
            <w:r w:rsidRPr="00577C63">
              <w:t>Iznos PDV-a (13%)</w:t>
            </w:r>
          </w:p>
          <w:p w:rsidR="00DA438A" w:rsidRPr="00577C63" w:rsidRDefault="00DA438A" w:rsidP="00D706F4">
            <w:pPr>
              <w:jc w:val="center"/>
            </w:pPr>
            <w:r w:rsidRPr="00577C63">
              <w:t>EUR</w:t>
            </w:r>
          </w:p>
        </w:tc>
        <w:tc>
          <w:tcPr>
            <w:tcW w:w="1667" w:type="dxa"/>
          </w:tcPr>
          <w:p w:rsidR="00DA438A" w:rsidRPr="00577C63" w:rsidRDefault="00DA438A" w:rsidP="00D706F4">
            <w:pPr>
              <w:jc w:val="center"/>
            </w:pPr>
            <w:r w:rsidRPr="00577C63">
              <w:t>Ukupna cijena sa PDV-om</w:t>
            </w:r>
          </w:p>
          <w:p w:rsidR="00DA438A" w:rsidRPr="00577C63" w:rsidRDefault="00DA438A" w:rsidP="00D706F4">
            <w:pPr>
              <w:jc w:val="center"/>
            </w:pPr>
            <w:r w:rsidRPr="00577C63">
              <w:t>EUR</w:t>
            </w:r>
          </w:p>
        </w:tc>
      </w:tr>
      <w:tr w:rsidR="00DA438A" w:rsidRPr="00577C63" w:rsidTr="00D706F4">
        <w:trPr>
          <w:trHeight w:val="410"/>
        </w:trPr>
        <w:tc>
          <w:tcPr>
            <w:tcW w:w="3510" w:type="dxa"/>
          </w:tcPr>
          <w:p w:rsidR="00DA438A" w:rsidRPr="00577C63" w:rsidRDefault="00DA438A" w:rsidP="00D706F4">
            <w:pPr>
              <w:jc w:val="both"/>
            </w:pPr>
            <w:r w:rsidRPr="00577C63">
              <w:t>Zajednički spremnik na obračunskom mjestu (posude ili kontejner ovisno o dogovoru sa suvlasnicima zgrade)</w:t>
            </w:r>
          </w:p>
          <w:p w:rsidR="00DA438A" w:rsidRPr="00577C63" w:rsidRDefault="00DA438A" w:rsidP="00D706F4">
            <w:pPr>
              <w:jc w:val="both"/>
            </w:pPr>
          </w:p>
        </w:tc>
        <w:tc>
          <w:tcPr>
            <w:tcW w:w="1985" w:type="dxa"/>
          </w:tcPr>
          <w:p w:rsidR="00DA438A" w:rsidRPr="008D40FF" w:rsidRDefault="00DA438A" w:rsidP="00D706F4">
            <w:pPr>
              <w:jc w:val="both"/>
              <w:rPr>
                <w:rFonts w:ascii="Calibri" w:eastAsia="Calibri" w:hAnsi="Calibri" w:cs="Times New Roman"/>
              </w:rPr>
            </w:pPr>
            <w:r w:rsidRPr="008D40FF">
              <w:rPr>
                <w:rFonts w:ascii="Calibri" w:eastAsia="Calibri" w:hAnsi="Calibri" w:cs="Times New Roman"/>
              </w:rPr>
              <w:t>4,19</w:t>
            </w:r>
          </w:p>
        </w:tc>
        <w:tc>
          <w:tcPr>
            <w:tcW w:w="2126" w:type="dxa"/>
          </w:tcPr>
          <w:p w:rsidR="00DA438A" w:rsidRPr="008D40FF" w:rsidRDefault="00DA438A" w:rsidP="00D706F4">
            <w:pPr>
              <w:jc w:val="both"/>
              <w:rPr>
                <w:rFonts w:ascii="Calibri" w:eastAsia="Calibri" w:hAnsi="Calibri" w:cs="Times New Roman"/>
              </w:rPr>
            </w:pPr>
            <w:r w:rsidRPr="008D40FF">
              <w:rPr>
                <w:rFonts w:ascii="Calibri" w:eastAsia="Calibri" w:hAnsi="Calibri" w:cs="Times New Roman"/>
              </w:rPr>
              <w:t>0,54</w:t>
            </w:r>
          </w:p>
        </w:tc>
        <w:tc>
          <w:tcPr>
            <w:tcW w:w="1667" w:type="dxa"/>
          </w:tcPr>
          <w:p w:rsidR="00DA438A" w:rsidRPr="00577C63" w:rsidRDefault="00DA438A" w:rsidP="00D706F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4,73</w:t>
            </w:r>
            <w:r w:rsidRPr="00577C63">
              <w:rPr>
                <w:rFonts w:ascii="Calibri" w:eastAsia="Calibri" w:hAnsi="Calibri" w:cs="Times New Roman"/>
              </w:rPr>
              <w:t xml:space="preserve"> </w:t>
            </w:r>
          </w:p>
          <w:p w:rsidR="00DA438A" w:rsidRPr="00577C63" w:rsidRDefault="00DA438A" w:rsidP="00D706F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35,64</w:t>
            </w:r>
            <w:r w:rsidRPr="00577C63">
              <w:rPr>
                <w:rFonts w:ascii="Calibri" w:eastAsia="Calibri" w:hAnsi="Calibri" w:cs="Times New Roman"/>
              </w:rPr>
              <w:t xml:space="preserve"> HRK</w:t>
            </w:r>
          </w:p>
          <w:p w:rsidR="00DA438A" w:rsidRPr="00577C63" w:rsidRDefault="00DA438A" w:rsidP="00D706F4">
            <w:pPr>
              <w:jc w:val="both"/>
              <w:rPr>
                <w:rFonts w:ascii="Calibri" w:eastAsia="Calibri" w:hAnsi="Calibri" w:cs="Times New Roman"/>
              </w:rPr>
            </w:pPr>
            <w:r w:rsidRPr="00577C63">
              <w:rPr>
                <w:rFonts w:ascii="Calibri" w:eastAsia="Calibri" w:hAnsi="Calibri" w:cs="Times New Roman"/>
              </w:rPr>
              <w:t xml:space="preserve">  </w:t>
            </w:r>
          </w:p>
        </w:tc>
      </w:tr>
    </w:tbl>
    <w:p w:rsidR="00DA438A" w:rsidRPr="00DD5EB3" w:rsidRDefault="00DA438A" w:rsidP="00DA438A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hr-HR"/>
        </w:rPr>
      </w:pPr>
    </w:p>
    <w:p w:rsidR="00DA438A" w:rsidRPr="00DD5EB3" w:rsidRDefault="00DA438A" w:rsidP="00DA438A">
      <w:pPr>
        <w:spacing w:after="0" w:line="240" w:lineRule="auto"/>
        <w:rPr>
          <w:rFonts w:ascii="Times New Roman" w:eastAsia="Calibri" w:hAnsi="Times New Roman" w:cs="Times New Roman"/>
          <w:szCs w:val="20"/>
          <w:lang w:eastAsia="hr-HR"/>
        </w:rPr>
      </w:pPr>
    </w:p>
    <w:p w:rsidR="00DA438A" w:rsidRPr="00DD5EB3" w:rsidRDefault="00DA438A" w:rsidP="00DA438A">
      <w:pPr>
        <w:spacing w:after="0" w:line="240" w:lineRule="auto"/>
        <w:jc w:val="both"/>
        <w:rPr>
          <w:rFonts w:ascii="Times New Roman" w:eastAsia="Arial" w:hAnsi="Times New Roman" w:cs="Times New Roman"/>
          <w:szCs w:val="20"/>
          <w:lang w:eastAsia="hr-HR"/>
        </w:rPr>
      </w:pPr>
      <w:r w:rsidRPr="00DD5EB3">
        <w:rPr>
          <w:rFonts w:ascii="Times New Roman" w:eastAsia="Calibri" w:hAnsi="Times New Roman" w:cs="Times New Roman"/>
          <w:szCs w:val="20"/>
          <w:lang w:eastAsia="hr-HR"/>
        </w:rPr>
        <w:t>4.</w:t>
      </w:r>
      <w:r w:rsidRPr="00DD5EB3">
        <w:rPr>
          <w:rFonts w:ascii="Times New Roman" w:eastAsia="Arial" w:hAnsi="Times New Roman" w:cs="Times New Roman"/>
          <w:szCs w:val="20"/>
          <w:lang w:eastAsia="hr-HR"/>
        </w:rPr>
        <w:t xml:space="preserve"> CIJENA PREDAJE MIJEŠANOG KOMUNALNOG OTPADA ZA JEDAN ODVOZ PO SPREMNIKU ZA KORISNIKA KATEGORIJA KUĆANSTVO – POTKATEGORIJA OBITELJSKE KUĆE: </w:t>
      </w:r>
    </w:p>
    <w:p w:rsidR="00DA438A" w:rsidRPr="00DD5EB3" w:rsidRDefault="00DA438A" w:rsidP="00DA438A">
      <w:pPr>
        <w:spacing w:after="0" w:line="240" w:lineRule="auto"/>
        <w:rPr>
          <w:rFonts w:ascii="Times New Roman" w:eastAsia="Arial" w:hAnsi="Times New Roman" w:cs="Times New Roman"/>
          <w:sz w:val="28"/>
          <w:lang w:eastAsia="hr-HR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3508"/>
        <w:gridCol w:w="1985"/>
        <w:gridCol w:w="2126"/>
        <w:gridCol w:w="1667"/>
      </w:tblGrid>
      <w:tr w:rsidR="00DA438A" w:rsidRPr="00DD5EB3" w:rsidTr="00D706F4">
        <w:trPr>
          <w:trHeight w:val="494"/>
        </w:trPr>
        <w:tc>
          <w:tcPr>
            <w:tcW w:w="3508" w:type="dxa"/>
          </w:tcPr>
          <w:p w:rsidR="00DA438A" w:rsidRPr="00DD5EB3" w:rsidRDefault="00DA438A" w:rsidP="00D706F4">
            <w:pPr>
              <w:rPr>
                <w:sz w:val="24"/>
              </w:rPr>
            </w:pPr>
            <w:r w:rsidRPr="00DD5EB3">
              <w:rPr>
                <w:sz w:val="24"/>
              </w:rPr>
              <w:t>Ugovoren spremnik MKO (miješani komunalni otpad)</w:t>
            </w:r>
          </w:p>
        </w:tc>
        <w:tc>
          <w:tcPr>
            <w:tcW w:w="1985" w:type="dxa"/>
          </w:tcPr>
          <w:p w:rsidR="00DA438A" w:rsidRPr="00DD5EB3" w:rsidRDefault="00DA438A" w:rsidP="00D706F4">
            <w:pPr>
              <w:rPr>
                <w:sz w:val="24"/>
              </w:rPr>
            </w:pPr>
            <w:r w:rsidRPr="00DD5EB3">
              <w:rPr>
                <w:sz w:val="24"/>
              </w:rPr>
              <w:t>Cijena bez PDV-a</w:t>
            </w:r>
            <w:r>
              <w:rPr>
                <w:sz w:val="24"/>
              </w:rPr>
              <w:t xml:space="preserve"> - EUR</w:t>
            </w:r>
            <w:r w:rsidRPr="00DD5EB3">
              <w:rPr>
                <w:sz w:val="24"/>
              </w:rPr>
              <w:t xml:space="preserve"> </w:t>
            </w:r>
          </w:p>
        </w:tc>
        <w:tc>
          <w:tcPr>
            <w:tcW w:w="2126" w:type="dxa"/>
          </w:tcPr>
          <w:p w:rsidR="00DA438A" w:rsidRPr="00DD5EB3" w:rsidRDefault="00DA438A" w:rsidP="00D706F4">
            <w:pPr>
              <w:rPr>
                <w:sz w:val="24"/>
              </w:rPr>
            </w:pPr>
            <w:r w:rsidRPr="00DD5EB3">
              <w:rPr>
                <w:sz w:val="24"/>
              </w:rPr>
              <w:t>Iznos PDV-a (13%)</w:t>
            </w:r>
            <w:r>
              <w:rPr>
                <w:sz w:val="24"/>
              </w:rPr>
              <w:t xml:space="preserve"> - EUR</w:t>
            </w:r>
            <w:r w:rsidRPr="00DD5EB3">
              <w:rPr>
                <w:sz w:val="24"/>
              </w:rPr>
              <w:t xml:space="preserve"> </w:t>
            </w:r>
          </w:p>
        </w:tc>
        <w:tc>
          <w:tcPr>
            <w:tcW w:w="1667" w:type="dxa"/>
          </w:tcPr>
          <w:p w:rsidR="00DA438A" w:rsidRPr="00DD5EB3" w:rsidRDefault="00DA438A" w:rsidP="00D706F4">
            <w:pPr>
              <w:rPr>
                <w:sz w:val="24"/>
              </w:rPr>
            </w:pPr>
            <w:r w:rsidRPr="00DD5EB3">
              <w:rPr>
                <w:sz w:val="24"/>
              </w:rPr>
              <w:t>Ukupna cijena s PDV-om</w:t>
            </w:r>
            <w:r>
              <w:rPr>
                <w:sz w:val="24"/>
              </w:rPr>
              <w:t xml:space="preserve"> - EUR</w:t>
            </w:r>
            <w:r w:rsidRPr="00DD5EB3">
              <w:rPr>
                <w:sz w:val="24"/>
              </w:rPr>
              <w:t xml:space="preserve"> </w:t>
            </w:r>
          </w:p>
        </w:tc>
      </w:tr>
      <w:tr w:rsidR="00DA438A" w:rsidRPr="00DD5EB3" w:rsidTr="00D706F4">
        <w:tc>
          <w:tcPr>
            <w:tcW w:w="3508" w:type="dxa"/>
          </w:tcPr>
          <w:p w:rsidR="00DA438A" w:rsidRPr="00DD5EB3" w:rsidRDefault="00DA438A" w:rsidP="00D706F4">
            <w:pPr>
              <w:rPr>
                <w:sz w:val="24"/>
              </w:rPr>
            </w:pPr>
            <w:r w:rsidRPr="00DD5EB3">
              <w:rPr>
                <w:sz w:val="24"/>
              </w:rPr>
              <w:t>spremnik 120 litara/jedan odvoz</w:t>
            </w:r>
          </w:p>
        </w:tc>
        <w:tc>
          <w:tcPr>
            <w:tcW w:w="1985" w:type="dxa"/>
          </w:tcPr>
          <w:p w:rsidR="00DA438A" w:rsidRPr="0004268B" w:rsidRDefault="00DA438A" w:rsidP="00D706F4">
            <w:pPr>
              <w:rPr>
                <w:sz w:val="28"/>
              </w:rPr>
            </w:pPr>
            <w:r w:rsidRPr="0004268B">
              <w:rPr>
                <w:sz w:val="28"/>
              </w:rPr>
              <w:t xml:space="preserve">2,2124 </w:t>
            </w:r>
          </w:p>
        </w:tc>
        <w:tc>
          <w:tcPr>
            <w:tcW w:w="2126" w:type="dxa"/>
          </w:tcPr>
          <w:p w:rsidR="00DA438A" w:rsidRPr="0004268B" w:rsidRDefault="00DA438A" w:rsidP="00D706F4">
            <w:pPr>
              <w:rPr>
                <w:sz w:val="28"/>
              </w:rPr>
            </w:pPr>
            <w:r>
              <w:rPr>
                <w:sz w:val="28"/>
              </w:rPr>
              <w:t>0,2876</w:t>
            </w:r>
          </w:p>
        </w:tc>
        <w:tc>
          <w:tcPr>
            <w:tcW w:w="1667" w:type="dxa"/>
          </w:tcPr>
          <w:p w:rsidR="00DA438A" w:rsidRPr="0004268B" w:rsidRDefault="00DA438A" w:rsidP="00D706F4">
            <w:pPr>
              <w:rPr>
                <w:sz w:val="28"/>
              </w:rPr>
            </w:pPr>
            <w:r w:rsidRPr="0004268B">
              <w:rPr>
                <w:sz w:val="28"/>
              </w:rPr>
              <w:t xml:space="preserve">2,50 </w:t>
            </w:r>
          </w:p>
          <w:p w:rsidR="00DA438A" w:rsidRPr="0004268B" w:rsidRDefault="00DA438A" w:rsidP="00D706F4">
            <w:pPr>
              <w:rPr>
                <w:sz w:val="28"/>
              </w:rPr>
            </w:pPr>
            <w:r w:rsidRPr="0004268B">
              <w:rPr>
                <w:sz w:val="28"/>
              </w:rPr>
              <w:t>(18,84 kn)</w:t>
            </w:r>
          </w:p>
        </w:tc>
      </w:tr>
      <w:tr w:rsidR="00DA438A" w:rsidRPr="00DD5EB3" w:rsidTr="00D706F4">
        <w:tc>
          <w:tcPr>
            <w:tcW w:w="3508" w:type="dxa"/>
          </w:tcPr>
          <w:p w:rsidR="00DA438A" w:rsidRPr="00DD5EB3" w:rsidRDefault="00DA438A" w:rsidP="00D706F4">
            <w:pPr>
              <w:rPr>
                <w:sz w:val="24"/>
              </w:rPr>
            </w:pPr>
            <w:r w:rsidRPr="00DD5EB3">
              <w:rPr>
                <w:sz w:val="24"/>
              </w:rPr>
              <w:t>spremnik 240 litara/jedan odvoz</w:t>
            </w:r>
          </w:p>
        </w:tc>
        <w:tc>
          <w:tcPr>
            <w:tcW w:w="1985" w:type="dxa"/>
          </w:tcPr>
          <w:p w:rsidR="00DA438A" w:rsidRPr="0004268B" w:rsidRDefault="00DA438A" w:rsidP="00D706F4">
            <w:pPr>
              <w:rPr>
                <w:sz w:val="28"/>
              </w:rPr>
            </w:pPr>
            <w:r w:rsidRPr="0004268B">
              <w:rPr>
                <w:sz w:val="28"/>
              </w:rPr>
              <w:t xml:space="preserve">4,4248 </w:t>
            </w:r>
          </w:p>
        </w:tc>
        <w:tc>
          <w:tcPr>
            <w:tcW w:w="2126" w:type="dxa"/>
          </w:tcPr>
          <w:p w:rsidR="00DA438A" w:rsidRPr="0004268B" w:rsidRDefault="00DA438A" w:rsidP="00D706F4">
            <w:pPr>
              <w:rPr>
                <w:sz w:val="28"/>
              </w:rPr>
            </w:pPr>
            <w:r w:rsidRPr="0004268B">
              <w:rPr>
                <w:sz w:val="28"/>
              </w:rPr>
              <w:t>0,5752</w:t>
            </w:r>
          </w:p>
          <w:p w:rsidR="00DA438A" w:rsidRPr="0004268B" w:rsidRDefault="00DA438A" w:rsidP="00D706F4">
            <w:pPr>
              <w:rPr>
                <w:sz w:val="28"/>
              </w:rPr>
            </w:pPr>
          </w:p>
        </w:tc>
        <w:tc>
          <w:tcPr>
            <w:tcW w:w="1667" w:type="dxa"/>
          </w:tcPr>
          <w:p w:rsidR="00DA438A" w:rsidRPr="0004268B" w:rsidRDefault="00DA438A" w:rsidP="00D706F4">
            <w:pPr>
              <w:rPr>
                <w:sz w:val="28"/>
              </w:rPr>
            </w:pPr>
            <w:r w:rsidRPr="0004268B">
              <w:rPr>
                <w:sz w:val="28"/>
              </w:rPr>
              <w:t>5,00</w:t>
            </w:r>
          </w:p>
          <w:p w:rsidR="00DA438A" w:rsidRPr="0004268B" w:rsidRDefault="00DA438A" w:rsidP="00D706F4">
            <w:pPr>
              <w:rPr>
                <w:sz w:val="28"/>
              </w:rPr>
            </w:pPr>
            <w:r w:rsidRPr="0004268B">
              <w:rPr>
                <w:sz w:val="28"/>
              </w:rPr>
              <w:t>(37,67 kn)</w:t>
            </w:r>
          </w:p>
        </w:tc>
      </w:tr>
    </w:tbl>
    <w:p w:rsidR="00DA438A" w:rsidRDefault="00DA438A" w:rsidP="00DA438A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hr-HR"/>
        </w:rPr>
      </w:pPr>
    </w:p>
    <w:p w:rsidR="00DA438A" w:rsidRDefault="00DA438A" w:rsidP="00DA438A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hr-HR"/>
        </w:rPr>
      </w:pPr>
    </w:p>
    <w:p w:rsidR="00DA438A" w:rsidRDefault="00DA438A" w:rsidP="00DA438A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hr-HR"/>
        </w:rPr>
      </w:pPr>
    </w:p>
    <w:p w:rsidR="00DA438A" w:rsidRDefault="00DA438A" w:rsidP="00DA438A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hr-HR"/>
        </w:rPr>
      </w:pPr>
    </w:p>
    <w:p w:rsidR="00DA438A" w:rsidRDefault="00DA438A" w:rsidP="00DA438A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hr-HR"/>
        </w:rPr>
      </w:pPr>
    </w:p>
    <w:p w:rsidR="00DA438A" w:rsidRDefault="00DA438A" w:rsidP="00DA438A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hr-HR"/>
        </w:rPr>
      </w:pPr>
    </w:p>
    <w:p w:rsidR="00DA438A" w:rsidRDefault="00DA438A" w:rsidP="00DA438A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hr-HR"/>
        </w:rPr>
      </w:pPr>
    </w:p>
    <w:p w:rsidR="00DA438A" w:rsidRDefault="00DA438A" w:rsidP="00DA438A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hr-HR"/>
        </w:rPr>
      </w:pPr>
    </w:p>
    <w:p w:rsidR="00DA438A" w:rsidRDefault="00DA438A" w:rsidP="00DA438A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hr-HR"/>
        </w:rPr>
      </w:pPr>
    </w:p>
    <w:p w:rsidR="00DA438A" w:rsidRPr="00DD5EB3" w:rsidRDefault="00DA438A" w:rsidP="00DA438A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hr-HR"/>
        </w:rPr>
      </w:pPr>
    </w:p>
    <w:p w:rsidR="00DA438A" w:rsidRPr="00DD5EB3" w:rsidRDefault="00DA438A" w:rsidP="00DA438A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hr-HR"/>
        </w:rPr>
      </w:pPr>
    </w:p>
    <w:p w:rsidR="00DA438A" w:rsidRPr="00DD5EB3" w:rsidRDefault="00DA438A" w:rsidP="00DA438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>
        <w:rPr>
          <w:rFonts w:ascii="Times New Roman" w:eastAsia="Times New Roman" w:hAnsi="Times New Roman" w:cs="Times New Roman"/>
          <w:szCs w:val="24"/>
          <w:lang w:eastAsia="hr-HR"/>
        </w:rPr>
        <w:lastRenderedPageBreak/>
        <w:t>5</w:t>
      </w:r>
      <w:r w:rsidRPr="00DD5EB3">
        <w:rPr>
          <w:rFonts w:ascii="Times New Roman" w:eastAsia="Times New Roman" w:hAnsi="Times New Roman" w:cs="Times New Roman"/>
          <w:szCs w:val="24"/>
          <w:lang w:eastAsia="hr-HR"/>
        </w:rPr>
        <w:t xml:space="preserve">. </w:t>
      </w:r>
      <w:r w:rsidRPr="00DD5EB3">
        <w:rPr>
          <w:rFonts w:ascii="Times New Roman" w:eastAsia="Arial" w:hAnsi="Times New Roman" w:cs="Times New Roman"/>
          <w:szCs w:val="20"/>
          <w:lang w:eastAsia="hr-HR"/>
        </w:rPr>
        <w:t>CIJENA PREDAJE MIJEŠANOG KOMUNALNOG OTPADA ZA JEDAN ODVOZ PO IZABRANOM SPREMNIKU (VOLUMENU)  ZA KORISNIKA KATEGORIJA KOJI NIJE KUĆANSTVO:</w:t>
      </w:r>
    </w:p>
    <w:p w:rsidR="00DA438A" w:rsidRPr="00DD5EB3" w:rsidRDefault="00DA438A" w:rsidP="00DA4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3479"/>
        <w:gridCol w:w="1969"/>
        <w:gridCol w:w="2108"/>
        <w:gridCol w:w="1653"/>
      </w:tblGrid>
      <w:tr w:rsidR="00DA438A" w:rsidRPr="00DD5EB3" w:rsidTr="00D706F4">
        <w:trPr>
          <w:trHeight w:val="680"/>
        </w:trPr>
        <w:tc>
          <w:tcPr>
            <w:tcW w:w="3479" w:type="dxa"/>
          </w:tcPr>
          <w:p w:rsidR="00DA438A" w:rsidRPr="00DD5EB3" w:rsidRDefault="00DA438A" w:rsidP="00D706F4">
            <w:pPr>
              <w:rPr>
                <w:sz w:val="24"/>
              </w:rPr>
            </w:pPr>
            <w:r w:rsidRPr="00DD5EB3">
              <w:rPr>
                <w:sz w:val="24"/>
              </w:rPr>
              <w:t>Ugovoren spremnik MKO (miješani komunalni otpad)</w:t>
            </w:r>
          </w:p>
        </w:tc>
        <w:tc>
          <w:tcPr>
            <w:tcW w:w="1969" w:type="dxa"/>
          </w:tcPr>
          <w:p w:rsidR="00DA438A" w:rsidRPr="00DD5EB3" w:rsidRDefault="00DA438A" w:rsidP="00D706F4">
            <w:pPr>
              <w:rPr>
                <w:sz w:val="24"/>
              </w:rPr>
            </w:pPr>
            <w:r>
              <w:rPr>
                <w:sz w:val="24"/>
              </w:rPr>
              <w:t>Cijena bez PDV-a - EUR</w:t>
            </w:r>
          </w:p>
        </w:tc>
        <w:tc>
          <w:tcPr>
            <w:tcW w:w="2108" w:type="dxa"/>
          </w:tcPr>
          <w:p w:rsidR="00DA438A" w:rsidRPr="00DD5EB3" w:rsidRDefault="00DA438A" w:rsidP="00D706F4">
            <w:pPr>
              <w:rPr>
                <w:sz w:val="24"/>
              </w:rPr>
            </w:pPr>
            <w:r>
              <w:rPr>
                <w:sz w:val="24"/>
              </w:rPr>
              <w:t>Iznos PDV-a (13%) - EUR</w:t>
            </w:r>
          </w:p>
        </w:tc>
        <w:tc>
          <w:tcPr>
            <w:tcW w:w="1653" w:type="dxa"/>
          </w:tcPr>
          <w:p w:rsidR="00DA438A" w:rsidRPr="00DD5EB3" w:rsidRDefault="00DA438A" w:rsidP="00D706F4">
            <w:pPr>
              <w:rPr>
                <w:sz w:val="24"/>
              </w:rPr>
            </w:pPr>
            <w:r>
              <w:rPr>
                <w:sz w:val="24"/>
              </w:rPr>
              <w:t>Ukupna cijena s PDV-om -EUR</w:t>
            </w:r>
          </w:p>
        </w:tc>
      </w:tr>
      <w:tr w:rsidR="00DA438A" w:rsidRPr="00DD5EB3" w:rsidTr="00D706F4">
        <w:trPr>
          <w:trHeight w:val="358"/>
        </w:trPr>
        <w:tc>
          <w:tcPr>
            <w:tcW w:w="3479" w:type="dxa"/>
          </w:tcPr>
          <w:p w:rsidR="00DA438A" w:rsidRPr="00DD5EB3" w:rsidRDefault="00DA438A" w:rsidP="00D706F4">
            <w:pPr>
              <w:rPr>
                <w:sz w:val="24"/>
              </w:rPr>
            </w:pPr>
            <w:r w:rsidRPr="00DD5EB3">
              <w:rPr>
                <w:sz w:val="24"/>
              </w:rPr>
              <w:t>spremnik 120 litara/jedan odvoz</w:t>
            </w:r>
          </w:p>
        </w:tc>
        <w:tc>
          <w:tcPr>
            <w:tcW w:w="1969" w:type="dxa"/>
          </w:tcPr>
          <w:p w:rsidR="00DA438A" w:rsidRPr="00D95BE1" w:rsidRDefault="00DA438A" w:rsidP="00D706F4">
            <w:pPr>
              <w:rPr>
                <w:sz w:val="24"/>
              </w:rPr>
            </w:pPr>
            <w:r>
              <w:rPr>
                <w:sz w:val="24"/>
              </w:rPr>
              <w:t>3,0973</w:t>
            </w:r>
          </w:p>
        </w:tc>
        <w:tc>
          <w:tcPr>
            <w:tcW w:w="2108" w:type="dxa"/>
          </w:tcPr>
          <w:p w:rsidR="00DA438A" w:rsidRPr="00D95BE1" w:rsidRDefault="00DA438A" w:rsidP="00D706F4">
            <w:pPr>
              <w:rPr>
                <w:sz w:val="24"/>
              </w:rPr>
            </w:pPr>
            <w:r>
              <w:rPr>
                <w:sz w:val="24"/>
              </w:rPr>
              <w:t>0,4027</w:t>
            </w:r>
          </w:p>
        </w:tc>
        <w:tc>
          <w:tcPr>
            <w:tcW w:w="1653" w:type="dxa"/>
          </w:tcPr>
          <w:p w:rsidR="00DA438A" w:rsidRPr="00D95BE1" w:rsidRDefault="00DA438A" w:rsidP="00D706F4">
            <w:pPr>
              <w:jc w:val="both"/>
              <w:rPr>
                <w:sz w:val="24"/>
              </w:rPr>
            </w:pPr>
            <w:r>
              <w:rPr>
                <w:sz w:val="24"/>
              </w:rPr>
              <w:t>3,50</w:t>
            </w:r>
          </w:p>
        </w:tc>
      </w:tr>
      <w:tr w:rsidR="00DA438A" w:rsidRPr="00DD5EB3" w:rsidTr="00D706F4">
        <w:trPr>
          <w:trHeight w:val="401"/>
        </w:trPr>
        <w:tc>
          <w:tcPr>
            <w:tcW w:w="3479" w:type="dxa"/>
          </w:tcPr>
          <w:p w:rsidR="00DA438A" w:rsidRPr="00DD5EB3" w:rsidRDefault="00DA438A" w:rsidP="00D706F4">
            <w:pPr>
              <w:rPr>
                <w:sz w:val="24"/>
              </w:rPr>
            </w:pPr>
            <w:r w:rsidRPr="00DD5EB3">
              <w:rPr>
                <w:sz w:val="24"/>
              </w:rPr>
              <w:t>spremnik 240 litara/jedan odvoz</w:t>
            </w:r>
          </w:p>
        </w:tc>
        <w:tc>
          <w:tcPr>
            <w:tcW w:w="1969" w:type="dxa"/>
          </w:tcPr>
          <w:p w:rsidR="00DA438A" w:rsidRPr="00D95BE1" w:rsidRDefault="00DA438A" w:rsidP="00D706F4">
            <w:pPr>
              <w:rPr>
                <w:sz w:val="24"/>
              </w:rPr>
            </w:pPr>
            <w:r>
              <w:rPr>
                <w:sz w:val="24"/>
              </w:rPr>
              <w:t>6,1947</w:t>
            </w:r>
          </w:p>
        </w:tc>
        <w:tc>
          <w:tcPr>
            <w:tcW w:w="2108" w:type="dxa"/>
          </w:tcPr>
          <w:p w:rsidR="00DA438A" w:rsidRPr="00D95BE1" w:rsidRDefault="00DA438A" w:rsidP="00D706F4">
            <w:pPr>
              <w:rPr>
                <w:sz w:val="24"/>
              </w:rPr>
            </w:pPr>
            <w:r>
              <w:rPr>
                <w:sz w:val="24"/>
              </w:rPr>
              <w:t>0,8053</w:t>
            </w:r>
          </w:p>
        </w:tc>
        <w:tc>
          <w:tcPr>
            <w:tcW w:w="1653" w:type="dxa"/>
          </w:tcPr>
          <w:p w:rsidR="00DA438A" w:rsidRPr="00D95BE1" w:rsidRDefault="00DA438A" w:rsidP="00D706F4">
            <w:pPr>
              <w:jc w:val="both"/>
              <w:rPr>
                <w:sz w:val="24"/>
              </w:rPr>
            </w:pPr>
            <w:r>
              <w:rPr>
                <w:sz w:val="24"/>
              </w:rPr>
              <w:t>7,00</w:t>
            </w:r>
          </w:p>
        </w:tc>
      </w:tr>
      <w:tr w:rsidR="00DA438A" w:rsidRPr="00DD5EB3" w:rsidTr="00D706F4">
        <w:trPr>
          <w:trHeight w:val="401"/>
        </w:trPr>
        <w:tc>
          <w:tcPr>
            <w:tcW w:w="3479" w:type="dxa"/>
          </w:tcPr>
          <w:p w:rsidR="00DA438A" w:rsidRPr="00DD5EB3" w:rsidRDefault="00DA438A" w:rsidP="00D706F4">
            <w:pPr>
              <w:rPr>
                <w:sz w:val="24"/>
              </w:rPr>
            </w:pPr>
            <w:r w:rsidRPr="00DD5EB3">
              <w:rPr>
                <w:sz w:val="24"/>
              </w:rPr>
              <w:t>spremnik 1100 litara/jedan odvoz</w:t>
            </w:r>
          </w:p>
        </w:tc>
        <w:tc>
          <w:tcPr>
            <w:tcW w:w="1969" w:type="dxa"/>
          </w:tcPr>
          <w:p w:rsidR="00DA438A" w:rsidRPr="00D95BE1" w:rsidRDefault="00DA438A" w:rsidP="00D706F4">
            <w:pPr>
              <w:rPr>
                <w:sz w:val="24"/>
              </w:rPr>
            </w:pPr>
            <w:r>
              <w:rPr>
                <w:sz w:val="24"/>
              </w:rPr>
              <w:t>28,3894</w:t>
            </w:r>
          </w:p>
        </w:tc>
        <w:tc>
          <w:tcPr>
            <w:tcW w:w="2108" w:type="dxa"/>
          </w:tcPr>
          <w:p w:rsidR="00DA438A" w:rsidRPr="00D95BE1" w:rsidRDefault="00DA438A" w:rsidP="00D706F4">
            <w:pPr>
              <w:rPr>
                <w:sz w:val="24"/>
              </w:rPr>
            </w:pPr>
            <w:r>
              <w:rPr>
                <w:sz w:val="24"/>
              </w:rPr>
              <w:t>3,6906</w:t>
            </w:r>
          </w:p>
        </w:tc>
        <w:tc>
          <w:tcPr>
            <w:tcW w:w="1653" w:type="dxa"/>
          </w:tcPr>
          <w:p w:rsidR="00DA438A" w:rsidRPr="00D95BE1" w:rsidRDefault="00DA438A" w:rsidP="00D706F4">
            <w:pPr>
              <w:jc w:val="both"/>
              <w:rPr>
                <w:sz w:val="24"/>
              </w:rPr>
            </w:pPr>
            <w:r>
              <w:rPr>
                <w:sz w:val="24"/>
              </w:rPr>
              <w:t>32,08</w:t>
            </w:r>
          </w:p>
        </w:tc>
      </w:tr>
    </w:tbl>
    <w:p w:rsidR="00DA438A" w:rsidRDefault="00DA438A" w:rsidP="00DA4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:rsidR="00DA438A" w:rsidRPr="00DD5EB3" w:rsidRDefault="00DA438A" w:rsidP="00DA4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:rsidR="00DA438A" w:rsidRPr="00DD5EB3" w:rsidRDefault="00DA438A" w:rsidP="00DA4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:rsidR="00DA438A" w:rsidRDefault="00DA438A" w:rsidP="00DA438A">
      <w:pPr>
        <w:spacing w:after="0" w:line="0" w:lineRule="atLeast"/>
        <w:rPr>
          <w:rFonts w:ascii="Times New Roman" w:eastAsia="Arial" w:hAnsi="Times New Roman" w:cs="Times New Roman"/>
          <w:szCs w:val="20"/>
          <w:lang w:eastAsia="hr-HR"/>
        </w:rPr>
      </w:pPr>
      <w:r>
        <w:rPr>
          <w:rFonts w:ascii="Times New Roman" w:eastAsia="Arial" w:hAnsi="Times New Roman" w:cs="Times New Roman"/>
          <w:szCs w:val="20"/>
          <w:lang w:eastAsia="hr-HR"/>
        </w:rPr>
        <w:t>6</w:t>
      </w:r>
      <w:r w:rsidRPr="00B045F2">
        <w:rPr>
          <w:rFonts w:ascii="Times New Roman" w:eastAsia="Arial" w:hAnsi="Times New Roman" w:cs="Times New Roman"/>
          <w:szCs w:val="20"/>
          <w:lang w:eastAsia="hr-HR"/>
        </w:rPr>
        <w:t>. OSTALE CIJENE</w:t>
      </w:r>
      <w:r>
        <w:rPr>
          <w:rFonts w:ascii="Times New Roman" w:eastAsia="Arial" w:hAnsi="Times New Roman" w:cs="Times New Roman"/>
          <w:szCs w:val="20"/>
          <w:lang w:eastAsia="hr-HR"/>
        </w:rPr>
        <w:t xml:space="preserve"> USLUGE</w:t>
      </w:r>
      <w:r w:rsidRPr="00B045F2">
        <w:rPr>
          <w:rFonts w:ascii="Times New Roman" w:eastAsia="Arial" w:hAnsi="Times New Roman" w:cs="Times New Roman"/>
          <w:szCs w:val="20"/>
          <w:lang w:eastAsia="hr-HR"/>
        </w:rPr>
        <w:t xml:space="preserve"> -  ZA </w:t>
      </w:r>
      <w:r>
        <w:rPr>
          <w:rFonts w:ascii="Times New Roman" w:eastAsia="Arial" w:hAnsi="Times New Roman" w:cs="Times New Roman"/>
          <w:szCs w:val="20"/>
          <w:lang w:eastAsia="hr-HR"/>
        </w:rPr>
        <w:t xml:space="preserve">KATEGORIJU </w:t>
      </w:r>
      <w:r w:rsidRPr="00B045F2">
        <w:rPr>
          <w:rFonts w:ascii="Times New Roman" w:eastAsia="Arial" w:hAnsi="Times New Roman" w:cs="Times New Roman"/>
          <w:szCs w:val="20"/>
          <w:lang w:eastAsia="hr-HR"/>
        </w:rPr>
        <w:t xml:space="preserve">KUĆANSTVA </w:t>
      </w:r>
      <w:r>
        <w:rPr>
          <w:rFonts w:ascii="Times New Roman" w:eastAsia="Arial" w:hAnsi="Times New Roman" w:cs="Times New Roman"/>
          <w:szCs w:val="20"/>
          <w:lang w:eastAsia="hr-HR"/>
        </w:rPr>
        <w:t>I KORISNIKE KOJI NISU KUĆANSTVA:</w:t>
      </w:r>
    </w:p>
    <w:p w:rsidR="00DA438A" w:rsidRPr="00B045F2" w:rsidRDefault="00DA438A" w:rsidP="00DA438A">
      <w:pPr>
        <w:spacing w:after="0" w:line="0" w:lineRule="atLeast"/>
        <w:rPr>
          <w:rFonts w:ascii="Times New Roman" w:eastAsia="Arial" w:hAnsi="Times New Roman" w:cs="Times New Roman"/>
          <w:szCs w:val="20"/>
          <w:lang w:eastAsia="hr-HR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4233"/>
        <w:gridCol w:w="1378"/>
        <w:gridCol w:w="1658"/>
        <w:gridCol w:w="1793"/>
      </w:tblGrid>
      <w:tr w:rsidR="00DA438A" w:rsidRPr="00CA1505" w:rsidTr="00CA1505">
        <w:trPr>
          <w:trHeight w:val="487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8A" w:rsidRPr="00CA1505" w:rsidRDefault="00DA438A" w:rsidP="00D706F4">
            <w:pPr>
              <w:rPr>
                <w:sz w:val="22"/>
              </w:rPr>
            </w:pPr>
          </w:p>
          <w:p w:rsidR="00DA438A" w:rsidRPr="00CA1505" w:rsidRDefault="00DA438A" w:rsidP="00D706F4">
            <w:pPr>
              <w:rPr>
                <w:sz w:val="22"/>
              </w:rPr>
            </w:pPr>
            <w:r w:rsidRPr="00CA1505">
              <w:rPr>
                <w:sz w:val="22"/>
              </w:rPr>
              <w:t>OPIS USLUGE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8A" w:rsidRPr="00CA1505" w:rsidRDefault="00DA438A" w:rsidP="00D706F4">
            <w:pPr>
              <w:rPr>
                <w:sz w:val="22"/>
              </w:rPr>
            </w:pPr>
            <w:r w:rsidRPr="00CA1505">
              <w:rPr>
                <w:sz w:val="22"/>
              </w:rPr>
              <w:t>Cijena bez PDV-a - EUR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8A" w:rsidRPr="00CA1505" w:rsidRDefault="00DA438A" w:rsidP="00D706F4">
            <w:pPr>
              <w:rPr>
                <w:sz w:val="22"/>
              </w:rPr>
            </w:pPr>
            <w:r w:rsidRPr="00CA1505">
              <w:rPr>
                <w:sz w:val="22"/>
              </w:rPr>
              <w:t>Iznos PDV-a – (13%) - EUR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8A" w:rsidRPr="00CA1505" w:rsidRDefault="00DA438A" w:rsidP="00D706F4">
            <w:pPr>
              <w:rPr>
                <w:sz w:val="22"/>
              </w:rPr>
            </w:pPr>
            <w:r w:rsidRPr="00CA1505">
              <w:rPr>
                <w:sz w:val="22"/>
              </w:rPr>
              <w:t>Ukupna cijena s PDV-om - EUR</w:t>
            </w:r>
          </w:p>
        </w:tc>
      </w:tr>
      <w:tr w:rsidR="00CA1505" w:rsidRPr="00CA1505" w:rsidTr="00CA1505">
        <w:trPr>
          <w:trHeight w:val="415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05" w:rsidRPr="00CA1505" w:rsidRDefault="00CA1505" w:rsidP="00603A2D">
            <w:pPr>
              <w:rPr>
                <w:sz w:val="22"/>
              </w:rPr>
            </w:pPr>
            <w:r w:rsidRPr="00CA1505">
              <w:rPr>
                <w:sz w:val="22"/>
              </w:rPr>
              <w:t>Vrećica s odvozom za dodatni MKO 120 l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05" w:rsidRPr="00CA1505" w:rsidRDefault="00CA1505" w:rsidP="00603A2D">
            <w:pPr>
              <w:rPr>
                <w:sz w:val="22"/>
              </w:rPr>
            </w:pPr>
            <w:r w:rsidRPr="00CA1505">
              <w:rPr>
                <w:sz w:val="22"/>
              </w:rPr>
              <w:t>2,61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05" w:rsidRPr="00CA1505" w:rsidRDefault="00CA1505" w:rsidP="00603A2D">
            <w:pPr>
              <w:rPr>
                <w:sz w:val="22"/>
              </w:rPr>
            </w:pPr>
            <w:r w:rsidRPr="00CA1505">
              <w:rPr>
                <w:sz w:val="22"/>
              </w:rPr>
              <w:t>0,34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05" w:rsidRDefault="00CA1505" w:rsidP="00603A2D">
            <w:pPr>
              <w:rPr>
                <w:sz w:val="22"/>
              </w:rPr>
            </w:pPr>
            <w:r w:rsidRPr="00CA1505">
              <w:rPr>
                <w:sz w:val="22"/>
              </w:rPr>
              <w:t>2,95</w:t>
            </w:r>
          </w:p>
          <w:p w:rsidR="00CA1505" w:rsidRPr="00CA1505" w:rsidRDefault="00CA1505" w:rsidP="00603A2D">
            <w:pPr>
              <w:rPr>
                <w:sz w:val="22"/>
              </w:rPr>
            </w:pPr>
            <w:r>
              <w:rPr>
                <w:sz w:val="22"/>
              </w:rPr>
              <w:t>22,23 HRK</w:t>
            </w:r>
          </w:p>
        </w:tc>
      </w:tr>
    </w:tbl>
    <w:p w:rsidR="00DA438A" w:rsidRPr="00CA1505" w:rsidRDefault="00DA438A" w:rsidP="00DA438A">
      <w:pPr>
        <w:jc w:val="both"/>
        <w:rPr>
          <w:rFonts w:ascii="Calibri" w:eastAsia="Calibri" w:hAnsi="Calibri" w:cs="Times New Roman"/>
          <w:sz w:val="24"/>
        </w:rPr>
      </w:pPr>
      <w:r w:rsidRPr="00CA1505">
        <w:rPr>
          <w:rFonts w:ascii="Calibri" w:eastAsia="Calibri" w:hAnsi="Calibri" w:cs="Times New Roman"/>
          <w:sz w:val="24"/>
        </w:rPr>
        <w:t xml:space="preserve">  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4233"/>
        <w:gridCol w:w="1378"/>
        <w:gridCol w:w="1658"/>
        <w:gridCol w:w="1793"/>
      </w:tblGrid>
      <w:tr w:rsidR="00DA438A" w:rsidRPr="00CA1505" w:rsidTr="00D706F4">
        <w:trPr>
          <w:trHeight w:val="421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8A" w:rsidRPr="00CA1505" w:rsidRDefault="00DA438A" w:rsidP="00D706F4">
            <w:pPr>
              <w:rPr>
                <w:rFonts w:asciiTheme="minorHAnsi" w:eastAsiaTheme="minorHAnsi" w:hAnsiTheme="minorHAnsi" w:cstheme="minorBidi"/>
                <w:sz w:val="22"/>
              </w:rPr>
            </w:pPr>
            <w:r w:rsidRPr="00CA1505">
              <w:rPr>
                <w:rFonts w:ascii="Calibri" w:eastAsia="Calibri" w:hAnsi="Calibri"/>
                <w:sz w:val="22"/>
              </w:rPr>
              <w:t xml:space="preserve">  </w:t>
            </w:r>
            <w:r w:rsidRPr="00CA1505">
              <w:rPr>
                <w:rFonts w:asciiTheme="minorHAnsi" w:eastAsiaTheme="minorHAnsi" w:hAnsiTheme="minorHAnsi" w:cstheme="minorBidi"/>
                <w:sz w:val="22"/>
              </w:rPr>
              <w:t>OPIS USLUGE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8A" w:rsidRPr="00CA1505" w:rsidRDefault="00DA438A" w:rsidP="00D706F4">
            <w:pPr>
              <w:jc w:val="both"/>
              <w:rPr>
                <w:sz w:val="22"/>
              </w:rPr>
            </w:pPr>
            <w:r w:rsidRPr="00CA1505">
              <w:rPr>
                <w:sz w:val="22"/>
              </w:rPr>
              <w:t>Cijena bez PDV-a - EUR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8A" w:rsidRPr="00CA1505" w:rsidRDefault="00DA438A" w:rsidP="00D706F4">
            <w:pPr>
              <w:jc w:val="both"/>
              <w:rPr>
                <w:sz w:val="22"/>
              </w:rPr>
            </w:pPr>
            <w:r w:rsidRPr="00CA1505">
              <w:rPr>
                <w:sz w:val="22"/>
              </w:rPr>
              <w:t xml:space="preserve">Iznos PDV-a (25%) – EUR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8A" w:rsidRPr="00CA1505" w:rsidRDefault="00DA438A" w:rsidP="00D706F4">
            <w:pPr>
              <w:jc w:val="both"/>
              <w:rPr>
                <w:sz w:val="22"/>
              </w:rPr>
            </w:pPr>
            <w:r w:rsidRPr="00CA1505">
              <w:rPr>
                <w:sz w:val="22"/>
              </w:rPr>
              <w:t>Ukupna cijena s PDV-om - EUR</w:t>
            </w:r>
          </w:p>
        </w:tc>
      </w:tr>
      <w:tr w:rsidR="00DA438A" w:rsidRPr="00CA1505" w:rsidTr="00D706F4">
        <w:trPr>
          <w:trHeight w:val="421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8A" w:rsidRPr="00CA1505" w:rsidRDefault="00DA438A" w:rsidP="00D706F4">
            <w:pPr>
              <w:rPr>
                <w:sz w:val="22"/>
              </w:rPr>
            </w:pPr>
            <w:r w:rsidRPr="00CA1505">
              <w:rPr>
                <w:sz w:val="22"/>
              </w:rPr>
              <w:t>Prijevoz dodatnog glomaznog otpada 1 X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8A" w:rsidRPr="00CA1505" w:rsidRDefault="00DA438A" w:rsidP="00D706F4">
            <w:pPr>
              <w:jc w:val="both"/>
              <w:rPr>
                <w:sz w:val="22"/>
              </w:rPr>
            </w:pPr>
            <w:r w:rsidRPr="00CA1505">
              <w:rPr>
                <w:sz w:val="22"/>
              </w:rPr>
              <w:t>12,00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8A" w:rsidRPr="00CA1505" w:rsidRDefault="00DA438A" w:rsidP="00D706F4">
            <w:pPr>
              <w:jc w:val="both"/>
              <w:rPr>
                <w:sz w:val="22"/>
              </w:rPr>
            </w:pPr>
            <w:r w:rsidRPr="00CA1505">
              <w:rPr>
                <w:sz w:val="22"/>
              </w:rPr>
              <w:t>3,00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8A" w:rsidRPr="00CA1505" w:rsidRDefault="00DA438A" w:rsidP="00D706F4">
            <w:pPr>
              <w:jc w:val="both"/>
              <w:rPr>
                <w:sz w:val="22"/>
              </w:rPr>
            </w:pPr>
            <w:r w:rsidRPr="00CA1505">
              <w:rPr>
                <w:sz w:val="22"/>
              </w:rPr>
              <w:t xml:space="preserve">  15,00</w:t>
            </w:r>
          </w:p>
          <w:p w:rsidR="00DA438A" w:rsidRPr="00CA1505" w:rsidRDefault="00DA438A" w:rsidP="00D706F4">
            <w:pPr>
              <w:jc w:val="both"/>
              <w:rPr>
                <w:sz w:val="22"/>
              </w:rPr>
            </w:pPr>
            <w:r w:rsidRPr="00CA1505">
              <w:rPr>
                <w:sz w:val="22"/>
              </w:rPr>
              <w:t xml:space="preserve">  113,02 HRK</w:t>
            </w:r>
          </w:p>
          <w:p w:rsidR="00DA438A" w:rsidRPr="00CA1505" w:rsidRDefault="00DA438A" w:rsidP="00D706F4">
            <w:pPr>
              <w:jc w:val="both"/>
              <w:rPr>
                <w:sz w:val="22"/>
              </w:rPr>
            </w:pPr>
            <w:r w:rsidRPr="00CA1505">
              <w:rPr>
                <w:sz w:val="22"/>
              </w:rPr>
              <w:t xml:space="preserve">  </w:t>
            </w:r>
          </w:p>
        </w:tc>
      </w:tr>
    </w:tbl>
    <w:p w:rsidR="00DA438A" w:rsidRDefault="00DA438A" w:rsidP="00DA438A">
      <w:pPr>
        <w:rPr>
          <w:rFonts w:ascii="Calibri" w:eastAsia="Calibri" w:hAnsi="Calibri" w:cs="Times New Roman"/>
        </w:rPr>
      </w:pPr>
    </w:p>
    <w:p w:rsidR="00DA438A" w:rsidRDefault="00DA438A" w:rsidP="00DA438A">
      <w:pPr>
        <w:rPr>
          <w:rFonts w:ascii="Calibri" w:eastAsia="Calibri" w:hAnsi="Calibri" w:cs="Times New Roman"/>
        </w:rPr>
      </w:pPr>
    </w:p>
    <w:p w:rsidR="00DA438A" w:rsidRDefault="00DA438A" w:rsidP="00DA438A">
      <w:pPr>
        <w:rPr>
          <w:rFonts w:ascii="Calibri" w:eastAsia="Calibri" w:hAnsi="Calibri" w:cs="Times New Roman"/>
        </w:rPr>
      </w:pPr>
    </w:p>
    <w:p w:rsidR="00DA438A" w:rsidRDefault="00DA438A" w:rsidP="00DA438A">
      <w:pPr>
        <w:rPr>
          <w:rFonts w:ascii="Calibri" w:eastAsia="Calibri" w:hAnsi="Calibri" w:cs="Times New Roman"/>
        </w:rPr>
      </w:pPr>
    </w:p>
    <w:p w:rsidR="00DA438A" w:rsidRDefault="00DA438A" w:rsidP="00DA438A">
      <w:pPr>
        <w:rPr>
          <w:rFonts w:ascii="Calibri" w:eastAsia="Calibri" w:hAnsi="Calibri" w:cs="Times New Roman"/>
        </w:rPr>
      </w:pPr>
    </w:p>
    <w:p w:rsidR="00DA438A" w:rsidRDefault="00DA438A" w:rsidP="00DA438A">
      <w:pPr>
        <w:rPr>
          <w:rFonts w:ascii="Calibri" w:eastAsia="Calibri" w:hAnsi="Calibri" w:cs="Times New Roman"/>
        </w:rPr>
      </w:pPr>
    </w:p>
    <w:p w:rsidR="00DA438A" w:rsidRDefault="00DA438A" w:rsidP="00DA438A">
      <w:pPr>
        <w:rPr>
          <w:rFonts w:ascii="Calibri" w:eastAsia="Calibri" w:hAnsi="Calibri" w:cs="Times New Roman"/>
        </w:rPr>
      </w:pPr>
    </w:p>
    <w:p w:rsidR="00DA438A" w:rsidRDefault="00DA438A" w:rsidP="00DA438A">
      <w:pPr>
        <w:rPr>
          <w:rFonts w:ascii="Calibri" w:eastAsia="Calibri" w:hAnsi="Calibri" w:cs="Times New Roman"/>
        </w:rPr>
      </w:pPr>
    </w:p>
    <w:p w:rsidR="00DA438A" w:rsidRDefault="00DA438A" w:rsidP="00DA438A">
      <w:pPr>
        <w:rPr>
          <w:rFonts w:ascii="Calibri" w:eastAsia="Calibri" w:hAnsi="Calibri" w:cs="Times New Roman"/>
        </w:rPr>
      </w:pPr>
    </w:p>
    <w:p w:rsidR="00DA438A" w:rsidRPr="009B4C20" w:rsidRDefault="00DA438A" w:rsidP="00DA438A">
      <w:pPr>
        <w:jc w:val="center"/>
        <w:rPr>
          <w:rFonts w:ascii="Calibri" w:eastAsia="Calibri" w:hAnsi="Calibri" w:cs="Times New Roman"/>
          <w:b/>
          <w:sz w:val="28"/>
        </w:rPr>
      </w:pPr>
      <w:r w:rsidRPr="009B4C20">
        <w:rPr>
          <w:rFonts w:ascii="Calibri" w:eastAsia="Calibri" w:hAnsi="Calibri" w:cs="Times New Roman"/>
          <w:b/>
          <w:sz w:val="28"/>
        </w:rPr>
        <w:lastRenderedPageBreak/>
        <w:t>OBRAZLOŽENJE PREDLOŽENOG CJENIKA</w:t>
      </w:r>
    </w:p>
    <w:p w:rsidR="00DA438A" w:rsidRPr="00DD5EB3" w:rsidRDefault="00DA438A" w:rsidP="00DA438A">
      <w:pPr>
        <w:jc w:val="center"/>
        <w:rPr>
          <w:rFonts w:ascii="Calibri" w:eastAsia="Calibri" w:hAnsi="Calibri" w:cs="Times New Roman"/>
          <w:b/>
          <w:sz w:val="24"/>
        </w:rPr>
      </w:pPr>
    </w:p>
    <w:p w:rsidR="00DA438A" w:rsidRDefault="00DA438A" w:rsidP="00DA438A">
      <w:pPr>
        <w:spacing w:after="0" w:line="240" w:lineRule="auto"/>
        <w:ind w:left="21" w:right="126" w:firstLine="68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5EB3">
        <w:rPr>
          <w:rFonts w:ascii="Times New Roman" w:eastAsia="Times New Roman" w:hAnsi="Times New Roman" w:cs="Times New Roman"/>
          <w:sz w:val="24"/>
          <w:szCs w:val="24"/>
          <w:lang w:eastAsia="hr-HR"/>
        </w:rPr>
        <w:t>Trgovačko društvo Nevkoš d.o.o. za uslužne djelatnosti iz Vinkovaca, Martina Ballinga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5, OIB 76173743169,</w:t>
      </w:r>
      <w:r w:rsidRPr="00DD5E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Pr="00DD5E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novi </w:t>
      </w:r>
      <w:r w:rsidRPr="00DD5E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koncesionar u postupku davanja koncesije za obavljanje javne usluge prikupljanja, odvoza i zbrinjavanja miješanog komunalnog otpada i biorazgradivog komunalnog otpada na području općine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Privlaka,</w:t>
      </w:r>
      <w:r w:rsidRPr="00DD5E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B4C20">
        <w:rPr>
          <w:rFonts w:ascii="Times New Roman" w:eastAsia="Times New Roman" w:hAnsi="Times New Roman" w:cs="Times New Roman"/>
          <w:sz w:val="24"/>
          <w:szCs w:val="24"/>
          <w:lang w:eastAsia="hr-HR"/>
        </w:rPr>
        <w:t>a temeljem odluke Općinskog vijeća o davanju koncesije.</w:t>
      </w:r>
    </w:p>
    <w:p w:rsidR="00DA438A" w:rsidRPr="00DD5EB3" w:rsidRDefault="00DA438A" w:rsidP="00DA438A">
      <w:pPr>
        <w:spacing w:after="0" w:line="240" w:lineRule="auto"/>
        <w:ind w:left="21" w:right="126" w:firstLine="68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5E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Nadalje, člankom 66. Zakona o gospodarenju otpadom (NN broj 84/21) propisano je da predstavničko tijelo jedinice lokalne samouprave donosi Odluku o načinu pružanja javne usluge sakupljanja komunalnog otpada koja podrazumijeva prikupljanje tog otpada na određenom području pružanja usluge putem spremnika od pojedinih korisnika i prijevoz tog otpada do ovlaštene osobe za obradu tog otpada. </w:t>
      </w:r>
    </w:p>
    <w:p w:rsidR="00DA438A" w:rsidRPr="00DD5EB3" w:rsidRDefault="00DA438A" w:rsidP="00DA438A">
      <w:pPr>
        <w:spacing w:after="0" w:line="240" w:lineRule="auto"/>
        <w:ind w:left="21" w:right="1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5E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Člankom 178. Zakona gospodarenju otpadom (NN broj 84/21) propisano je da je predstavničko tijelo jedinice lokalne samouprave dužno donijeti Odluku o načinu pružanja javne usluge iz članka 66. ovoga Zakona u roku od šest mjeseci od dana stupanja snagu ovoga Zakona.</w:t>
      </w:r>
    </w:p>
    <w:p w:rsidR="00DA438A" w:rsidRPr="00DD5EB3" w:rsidRDefault="00DA438A" w:rsidP="00DA438A">
      <w:pPr>
        <w:spacing w:after="0" w:line="240" w:lineRule="auto"/>
        <w:ind w:left="21" w:right="126" w:firstLine="68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5E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Slijedom navedenog, davatelj koncesije Općina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Privlaka</w:t>
      </w:r>
      <w:r w:rsidRPr="00DD5E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Općinsko vijeće je donijelo Odluku o načinu pružanja javne usluge javne usluge sakupljanja komunalnog otpada na području Općine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Privlaka </w:t>
      </w:r>
      <w:r w:rsidRPr="00DD5EB3">
        <w:rPr>
          <w:rFonts w:ascii="Times New Roman" w:eastAsia="Times New Roman" w:hAnsi="Times New Roman" w:cs="Times New Roman"/>
          <w:sz w:val="24"/>
          <w:szCs w:val="24"/>
          <w:lang w:eastAsia="hr-HR"/>
        </w:rPr>
        <w:t>na sjednici 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pćinskog vijeća održanoj dana 31</w:t>
      </w:r>
      <w:r w:rsidRPr="00DD5E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siječnja 2022. g., </w:t>
      </w:r>
      <w:r w:rsidRPr="00803EF6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024-04/22-01/01, URBROJ: 2196-22-03-22-3</w:t>
      </w:r>
      <w:r w:rsidRPr="00DD5E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kojom Odlukom je u čl. 16. određeno da cijena minimalne javne usluge na području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Privlaka</w:t>
      </w:r>
      <w:r w:rsidRPr="00DD5E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bude jedinstvena za sve korisnike usluga (Korisnici kategorije kućanstva i Korisnici kategorije koji nisu kućanst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va-sve potkategorije), iznosi 7,38 EUR-a</w:t>
      </w:r>
      <w:r w:rsidRPr="00DD5E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- 55,6</w:t>
      </w:r>
      <w:r w:rsidRPr="00DD5EB3">
        <w:rPr>
          <w:rFonts w:ascii="Times New Roman" w:eastAsia="Times New Roman" w:hAnsi="Times New Roman" w:cs="Times New Roman"/>
          <w:sz w:val="24"/>
          <w:szCs w:val="24"/>
          <w:lang w:eastAsia="hr-HR"/>
        </w:rPr>
        <w:t>0 kn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D5E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(uključujući PDV), a sve sukladno činjenici da je sada određivanje visine iste u nadležnosti predstavničkog tijela – Općinskog vijeća i da ista cijena minimalne javne usluge mora biti sadržana u samoj Odluci o načinu pružanja javne usluge javne usluge sakupljanja komunalnog otpada na području Općine. </w:t>
      </w:r>
    </w:p>
    <w:p w:rsidR="00DA438A" w:rsidRPr="00DD5EB3" w:rsidRDefault="00DA438A" w:rsidP="00DA438A">
      <w:pPr>
        <w:spacing w:after="0" w:line="240" w:lineRule="auto"/>
        <w:ind w:left="21" w:right="126" w:firstLine="68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5E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Dakle, cijena minimalne javne usluge je određena čl. 16. Odluke Općinskog vijeća o načinu pružanja javne usluge javne usluge sakupljanja komunalnog otpada na području Općine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Privlaka</w:t>
      </w:r>
      <w:r w:rsidRPr="00DD5E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sjednici 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pćinskog vijeća održanoj dana 31</w:t>
      </w:r>
      <w:r w:rsidRPr="00DD5E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siječnja 2022. g., </w:t>
      </w:r>
      <w:r w:rsidRPr="00803EF6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024-04/22-01/01, URBROJ: 2196-22-03-22-3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DD5E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ista iznosi za sve korisnike 7,38 EUR-a (55,6</w:t>
      </w:r>
      <w:r w:rsidRPr="00DD5EB3">
        <w:rPr>
          <w:rFonts w:ascii="Times New Roman" w:eastAsia="Times New Roman" w:hAnsi="Times New Roman" w:cs="Times New Roman"/>
          <w:sz w:val="24"/>
          <w:szCs w:val="24"/>
          <w:lang w:eastAsia="hr-HR"/>
        </w:rPr>
        <w:t>0 kn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DD5E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uključujući PDV, dok su u čl. 17. iste Odluke određeni kriteriji za umanjenje cijene za korisnike usluge, kojima je propisano kako će cijena minimalne javne usluge za korisnike u kategoriji kućanstvo – potkategorija obiteljske kuće koji sami kompostiraju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otpad biti umanjena za 2,65 EUR-a (20,00</w:t>
      </w:r>
      <w:r w:rsidRPr="00DD5E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DD5E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mjesečno, a za korisnike u kategoriji kućanstvo – potkategorija etažni stanovi će biti umanjena za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2,65 EUR-a (20,00</w:t>
      </w:r>
      <w:r w:rsidRPr="00DD5E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Pr="00DD5EB3">
        <w:rPr>
          <w:rFonts w:ascii="Times New Roman" w:eastAsia="Times New Roman" w:hAnsi="Times New Roman" w:cs="Times New Roman"/>
          <w:sz w:val="24"/>
          <w:szCs w:val="24"/>
          <w:lang w:eastAsia="hr-HR"/>
        </w:rPr>
        <w:t>mjesečno.</w:t>
      </w:r>
    </w:p>
    <w:p w:rsidR="00DA438A" w:rsidRPr="00021A07" w:rsidRDefault="00DA438A" w:rsidP="00DA43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A07">
        <w:rPr>
          <w:rFonts w:ascii="Times New Roman" w:hAnsi="Times New Roman" w:cs="Times New Roman"/>
          <w:sz w:val="24"/>
          <w:szCs w:val="24"/>
        </w:rPr>
        <w:t>Vrlo važno je za naglasiti kako mi kao pružatelj usluge predlažemo, sukladno posljednjim zakonski</w:t>
      </w:r>
      <w:r>
        <w:rPr>
          <w:rFonts w:ascii="Times New Roman" w:hAnsi="Times New Roman" w:cs="Times New Roman"/>
          <w:sz w:val="24"/>
          <w:szCs w:val="24"/>
        </w:rPr>
        <w:t xml:space="preserve">m izmjenama, na suglasnost </w:t>
      </w:r>
      <w:r w:rsidRPr="00021A07">
        <w:rPr>
          <w:rFonts w:ascii="Times New Roman" w:hAnsi="Times New Roman" w:cs="Times New Roman"/>
          <w:sz w:val="24"/>
          <w:szCs w:val="24"/>
        </w:rPr>
        <w:t xml:space="preserve">načelniku samo varijabilni dio cijene iznosa računa, budući je cijena minimalne javne usluge određena čl. 16. Odluke </w:t>
      </w:r>
      <w:r>
        <w:rPr>
          <w:rFonts w:ascii="Times New Roman" w:hAnsi="Times New Roman" w:cs="Times New Roman"/>
          <w:sz w:val="24"/>
          <w:szCs w:val="24"/>
        </w:rPr>
        <w:t>Općinskog</w:t>
      </w:r>
      <w:r w:rsidRPr="00021A07">
        <w:rPr>
          <w:rFonts w:ascii="Times New Roman" w:hAnsi="Times New Roman" w:cs="Times New Roman"/>
          <w:sz w:val="24"/>
          <w:szCs w:val="24"/>
        </w:rPr>
        <w:t xml:space="preserve"> vijeća o načinu pružanja javne usluge sakupljanja komunalnog otpada na području </w:t>
      </w:r>
      <w:r>
        <w:rPr>
          <w:rFonts w:ascii="Times New Roman" w:hAnsi="Times New Roman" w:cs="Times New Roman"/>
          <w:sz w:val="24"/>
          <w:szCs w:val="24"/>
        </w:rPr>
        <w:t>Općine</w:t>
      </w:r>
      <w:r w:rsidRPr="00021A07">
        <w:rPr>
          <w:rFonts w:ascii="Times New Roman" w:hAnsi="Times New Roman" w:cs="Times New Roman"/>
          <w:sz w:val="24"/>
          <w:szCs w:val="24"/>
        </w:rPr>
        <w:t xml:space="preserve"> od dana </w:t>
      </w:r>
      <w:r>
        <w:rPr>
          <w:rFonts w:ascii="Times New Roman" w:hAnsi="Times New Roman" w:cs="Times New Roman"/>
          <w:sz w:val="24"/>
          <w:szCs w:val="24"/>
        </w:rPr>
        <w:t>31. siječnja 2022</w:t>
      </w:r>
      <w:r w:rsidRPr="00021A07">
        <w:rPr>
          <w:rFonts w:ascii="Times New Roman" w:hAnsi="Times New Roman" w:cs="Times New Roman"/>
          <w:sz w:val="24"/>
          <w:szCs w:val="24"/>
        </w:rPr>
        <w:t>. g., a kako je ranije navedeno.</w:t>
      </w:r>
      <w:r>
        <w:rPr>
          <w:rFonts w:ascii="Times New Roman" w:hAnsi="Times New Roman" w:cs="Times New Roman"/>
          <w:sz w:val="24"/>
          <w:szCs w:val="24"/>
        </w:rPr>
        <w:t xml:space="preserve"> Ističemo kako je na ovaj naš prijedlog cijene koji predstavlja poskupljenje usluge za naše korisnike utjecala poglavito činjenica kako nam je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dopisom od 16. ožujka 2023. g. trgovačko društvo KOMUNALAC d.o.o. iz Vukovara kao upravitelj odlagalištem otpada jednostrano raskinulo ugovor-suradnju u vidu zbrinjavanja miješanog komunalnog otpada KBO 20 03 01 na odlagalištu otpada „Petrovačka dola“ s danom 30. travnja 2023. g. i tim potezom nas dovela do toga da od 1. svibnja 2023. g. mi ne bismo imali gdje odlagati miješani komunalni otpad, a samim time ne bismo ga mogli niti sakupljati od naših korisnika na području Općine. U međuvremenu smo temeljem uloženog napora čelnika grada Vinkovaca i drugih jedinica lokalne samouprave, kao i našeg osobnog, uspjeli dogovoriti suradnju u vidu zbrinjavanja miješanog komunalnog otpada od 1. svibnja 2023. g. sa trgovačkim društvom Univerzal d.o.o. </w:t>
      </w:r>
      <w:r w:rsidRPr="00554BB8">
        <w:rPr>
          <w:rFonts w:ascii="Times New Roman" w:hAnsi="Times New Roman" w:cs="Times New Roman"/>
          <w:sz w:val="24"/>
          <w:szCs w:val="24"/>
        </w:rPr>
        <w:t xml:space="preserve">iz Đakova </w:t>
      </w:r>
      <w:r>
        <w:rPr>
          <w:rFonts w:ascii="Times New Roman" w:hAnsi="Times New Roman" w:cs="Times New Roman"/>
          <w:sz w:val="24"/>
          <w:szCs w:val="24"/>
        </w:rPr>
        <w:t>na odlagalištu otpada „Vitika“ u gradu Đakovu (u prilogu dopis o raskidu ugovora Komunalac d.o.o. iz Vukovara i ugovor o suradnji s trgovačkim društvom Univerzal d.o.o. iz Đakova). Međutim, ranija cijena zbrinjavanja miješanog komunalnog otpada po toni u Vukovaru je iznosila 30,00 eura bez PDV-a, a sada od 1. svibnja 2023. g. iznosi 59,73 eura po toni bez PDV-a. Izbora nismo imali te smo naprijed navedenu suradnju po navedenim uvjetima morali dogovoriti.</w:t>
      </w:r>
    </w:p>
    <w:p w:rsidR="00DA438A" w:rsidRDefault="00DA438A" w:rsidP="00DA438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Dakle, n</w:t>
      </w:r>
      <w:r w:rsidRPr="001A2BF4">
        <w:rPr>
          <w:rFonts w:ascii="Times New Roman" w:hAnsi="Times New Roman" w:cs="Times New Roman"/>
          <w:sz w:val="24"/>
          <w:szCs w:val="24"/>
        </w:rPr>
        <w:t>a naš prijedlog cijene varijabilnog dijela računa tj. cijen</w:t>
      </w:r>
      <w:r>
        <w:rPr>
          <w:rFonts w:ascii="Times New Roman" w:hAnsi="Times New Roman" w:cs="Times New Roman"/>
          <w:sz w:val="24"/>
          <w:szCs w:val="24"/>
        </w:rPr>
        <w:t>e pražnjenja spremnika, utjecala je isključivo cijena deponiranja, koja se izmijenila od dana 1. travnja 2023</w:t>
      </w:r>
      <w:r w:rsidRPr="001A2BF4">
        <w:rPr>
          <w:rFonts w:ascii="Times New Roman" w:hAnsi="Times New Roman" w:cs="Times New Roman"/>
          <w:sz w:val="24"/>
          <w:szCs w:val="24"/>
        </w:rPr>
        <w:t>. g. tj. od dana od kada je na snazi aktualni cjenik:</w:t>
      </w:r>
    </w:p>
    <w:p w:rsidR="00DA438A" w:rsidRPr="00E7658B" w:rsidRDefault="00DA438A" w:rsidP="00DA438A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38A" w:rsidRDefault="00DA438A" w:rsidP="00DA438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0BF">
        <w:rPr>
          <w:rFonts w:ascii="Times New Roman" w:hAnsi="Times New Roman" w:cs="Times New Roman"/>
          <w:b/>
          <w:sz w:val="24"/>
          <w:szCs w:val="24"/>
        </w:rPr>
        <w:t xml:space="preserve">cijena deponiranja otpada od </w:t>
      </w:r>
      <w:r w:rsidR="00443F18">
        <w:rPr>
          <w:rFonts w:ascii="Times New Roman" w:hAnsi="Times New Roman" w:cs="Times New Roman"/>
          <w:b/>
          <w:sz w:val="24"/>
          <w:szCs w:val="24"/>
        </w:rPr>
        <w:t>01.04</w:t>
      </w:r>
      <w:r>
        <w:rPr>
          <w:rFonts w:ascii="Times New Roman" w:hAnsi="Times New Roman" w:cs="Times New Roman"/>
          <w:b/>
          <w:sz w:val="24"/>
          <w:szCs w:val="24"/>
        </w:rPr>
        <w:t>.2023</w:t>
      </w:r>
      <w:r w:rsidRPr="00C240BF">
        <w:rPr>
          <w:rFonts w:ascii="Times New Roman" w:hAnsi="Times New Roman" w:cs="Times New Roman"/>
          <w:b/>
          <w:sz w:val="24"/>
          <w:szCs w:val="24"/>
        </w:rPr>
        <w:t xml:space="preserve">. g. </w:t>
      </w:r>
      <w:r>
        <w:rPr>
          <w:rFonts w:ascii="Times New Roman" w:hAnsi="Times New Roman" w:cs="Times New Roman"/>
          <w:b/>
          <w:sz w:val="24"/>
          <w:szCs w:val="24"/>
        </w:rPr>
        <w:t xml:space="preserve">tj. </w:t>
      </w:r>
      <w:r w:rsidRPr="0043360D">
        <w:rPr>
          <w:rFonts w:ascii="Times New Roman" w:hAnsi="Times New Roman" w:cs="Times New Roman"/>
          <w:b/>
          <w:sz w:val="24"/>
          <w:szCs w:val="24"/>
        </w:rPr>
        <w:t>od dana od kada je na snazi aktualni cjenik</w:t>
      </w:r>
      <w:r w:rsidRPr="00C240BF">
        <w:rPr>
          <w:rFonts w:ascii="Times New Roman" w:hAnsi="Times New Roman" w:cs="Times New Roman"/>
          <w:b/>
          <w:sz w:val="24"/>
          <w:szCs w:val="24"/>
        </w:rPr>
        <w:t xml:space="preserve"> je porasla sa </w:t>
      </w:r>
      <w:r>
        <w:rPr>
          <w:rFonts w:ascii="Times New Roman" w:hAnsi="Times New Roman" w:cs="Times New Roman"/>
          <w:b/>
          <w:sz w:val="24"/>
          <w:szCs w:val="24"/>
        </w:rPr>
        <w:t>30,00 EUR/t</w:t>
      </w:r>
      <w:r w:rsidRPr="00C240BF">
        <w:rPr>
          <w:rFonts w:ascii="Times New Roman" w:hAnsi="Times New Roman" w:cs="Times New Roman"/>
          <w:b/>
          <w:sz w:val="24"/>
          <w:szCs w:val="24"/>
        </w:rPr>
        <w:t xml:space="preserve"> na sadašnjih </w:t>
      </w:r>
      <w:r>
        <w:rPr>
          <w:rFonts w:ascii="Times New Roman" w:hAnsi="Times New Roman" w:cs="Times New Roman"/>
          <w:b/>
          <w:sz w:val="24"/>
          <w:szCs w:val="24"/>
        </w:rPr>
        <w:t>59,73 EUR/t, koja cijena je na snazi od 01.05.2023. g.</w:t>
      </w:r>
      <w:r w:rsidRPr="00C240BF">
        <w:rPr>
          <w:rFonts w:ascii="Times New Roman" w:hAnsi="Times New Roman" w:cs="Times New Roman"/>
          <w:b/>
          <w:sz w:val="24"/>
          <w:szCs w:val="24"/>
        </w:rPr>
        <w:t xml:space="preserve">, što predstavlja povećanje od </w:t>
      </w:r>
      <w:r>
        <w:rPr>
          <w:rFonts w:ascii="Times New Roman" w:hAnsi="Times New Roman" w:cs="Times New Roman"/>
          <w:b/>
          <w:sz w:val="24"/>
          <w:szCs w:val="24"/>
        </w:rPr>
        <w:t>preko 99,00 %.</w:t>
      </w:r>
    </w:p>
    <w:p w:rsidR="00DA438A" w:rsidRDefault="00DA438A" w:rsidP="00DA4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38A" w:rsidRPr="0004268B" w:rsidRDefault="00DA438A" w:rsidP="00DA438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268B">
        <w:rPr>
          <w:rFonts w:ascii="Times New Roman" w:hAnsi="Times New Roman" w:cs="Times New Roman"/>
          <w:sz w:val="24"/>
          <w:szCs w:val="24"/>
        </w:rPr>
        <w:t>Nadalje ističemo kako ovim povećanjem cijena, a temeljem načela „onečišćivač plaća“ iz čl. 7. Zakona o gospodarenju otpadom (NN broj 84/21), višom cijenom pražnjenja spremnika za miješani komunalni otpad, vršimo i pozitivan pritisak na korisnike usluge da što više odvajaju otpad na kućnom pragu (omogućeno odvajanje plastike, papira, metala, stakla, tekstila, biotpada) i što manje iznose spremnik za miješani komunalni otpad na pražnjenje te će samim time i manju cijenu usluge u konačnici plaćati, a također će se i manje otpada zbrinuti na odlagalištima otpada što je smisao te zakonske odredbe i benefit za cijelu zajednicu i očuvanje okoliša kao konačan cilj.</w:t>
      </w:r>
    </w:p>
    <w:p w:rsidR="00DA438A" w:rsidRPr="0004268B" w:rsidRDefault="00DA438A" w:rsidP="00DA438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268B">
        <w:rPr>
          <w:rFonts w:ascii="Times New Roman" w:hAnsi="Times New Roman" w:cs="Times New Roman"/>
          <w:sz w:val="24"/>
          <w:szCs w:val="24"/>
        </w:rPr>
        <w:t>Naglašavamo kako smo uvidom u naše statističke izvještaje ustanovili pozitivan trend kod naših korisnika u smislu smanjivanja broja pražnjenja zelenog spremnika sa dva puta mjesečno na 1,7 puta mjesečno u prva tri mjeseca ove godine.</w:t>
      </w:r>
    </w:p>
    <w:p w:rsidR="00DA438A" w:rsidRPr="001A2BF4" w:rsidRDefault="00DA438A" w:rsidP="00DA438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1A2BF4">
        <w:rPr>
          <w:rFonts w:ascii="Times New Roman" w:hAnsi="Times New Roman" w:cs="Times New Roman"/>
          <w:sz w:val="24"/>
          <w:szCs w:val="24"/>
        </w:rPr>
        <w:t xml:space="preserve">ukladno naprijed navedenom, naš prijedlog cijene pražnjenja spremnika zapremnine 120 L (varijabilni dio računa) koji iznosi sadašnjih </w:t>
      </w:r>
      <w:r>
        <w:rPr>
          <w:rFonts w:ascii="Times New Roman" w:hAnsi="Times New Roman" w:cs="Times New Roman"/>
          <w:sz w:val="24"/>
          <w:szCs w:val="24"/>
        </w:rPr>
        <w:t>1,50</w:t>
      </w:r>
      <w:r w:rsidRPr="00432D9E">
        <w:rPr>
          <w:rFonts w:ascii="Times New Roman" w:hAnsi="Times New Roman" w:cs="Times New Roman"/>
          <w:sz w:val="24"/>
          <w:szCs w:val="24"/>
        </w:rPr>
        <w:t xml:space="preserve"> EUR-a (</w:t>
      </w:r>
      <w:r>
        <w:rPr>
          <w:rFonts w:ascii="Times New Roman" w:hAnsi="Times New Roman" w:cs="Times New Roman"/>
          <w:sz w:val="24"/>
          <w:szCs w:val="24"/>
        </w:rPr>
        <w:t>11,30</w:t>
      </w:r>
      <w:r w:rsidRPr="00432D9E">
        <w:rPr>
          <w:rFonts w:ascii="Times New Roman" w:hAnsi="Times New Roman" w:cs="Times New Roman"/>
          <w:sz w:val="24"/>
          <w:szCs w:val="24"/>
        </w:rPr>
        <w:t xml:space="preserve"> kn) sa PDV-om</w:t>
      </w:r>
      <w:r w:rsidRPr="001A2BF4">
        <w:rPr>
          <w:rFonts w:ascii="Times New Roman" w:hAnsi="Times New Roman" w:cs="Times New Roman"/>
          <w:sz w:val="24"/>
          <w:szCs w:val="24"/>
        </w:rPr>
        <w:t xml:space="preserve"> za korisnike u kategoriji kućanstvo – potkategorija obiteljske</w:t>
      </w:r>
      <w:r>
        <w:rPr>
          <w:rFonts w:ascii="Times New Roman" w:hAnsi="Times New Roman" w:cs="Times New Roman"/>
          <w:sz w:val="24"/>
          <w:szCs w:val="24"/>
        </w:rPr>
        <w:t xml:space="preserve"> kuće, jest novčani iznos od 2,50</w:t>
      </w:r>
      <w:r w:rsidRPr="001A2BF4">
        <w:rPr>
          <w:rFonts w:ascii="Times New Roman" w:hAnsi="Times New Roman" w:cs="Times New Roman"/>
          <w:sz w:val="24"/>
          <w:szCs w:val="24"/>
        </w:rPr>
        <w:t xml:space="preserve"> EUR-a (</w:t>
      </w:r>
      <w:r>
        <w:rPr>
          <w:rFonts w:ascii="Times New Roman" w:hAnsi="Times New Roman" w:cs="Times New Roman"/>
          <w:sz w:val="24"/>
          <w:szCs w:val="24"/>
        </w:rPr>
        <w:t>18,84 kn</w:t>
      </w:r>
      <w:r w:rsidRPr="001A2BF4">
        <w:rPr>
          <w:rFonts w:ascii="Times New Roman" w:hAnsi="Times New Roman" w:cs="Times New Roman"/>
          <w:sz w:val="24"/>
          <w:szCs w:val="24"/>
        </w:rPr>
        <w:t xml:space="preserve">) sa PDV-om. Novčane iznose za spremnike od 80 l i 240 l i dr. kategorije korisnika navodimo u tablici u ranijem dijelu teksta. </w:t>
      </w:r>
    </w:p>
    <w:p w:rsidR="00DA438A" w:rsidRPr="001A2BF4" w:rsidRDefault="00DA438A" w:rsidP="00DA4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BF4">
        <w:rPr>
          <w:rFonts w:ascii="Times New Roman" w:hAnsi="Times New Roman" w:cs="Times New Roman"/>
          <w:sz w:val="24"/>
          <w:szCs w:val="24"/>
        </w:rPr>
        <w:tab/>
        <w:t xml:space="preserve">Novi Cjenik bi se, nakon dobivanja prethodne suglasnosti izvršnog tijela-načelnika </w:t>
      </w:r>
      <w:r>
        <w:rPr>
          <w:rFonts w:ascii="Times New Roman" w:hAnsi="Times New Roman" w:cs="Times New Roman"/>
          <w:sz w:val="24"/>
          <w:szCs w:val="24"/>
        </w:rPr>
        <w:t>Općine Privlaka</w:t>
      </w:r>
      <w:r w:rsidRPr="001A2BF4">
        <w:rPr>
          <w:rFonts w:ascii="Times New Roman" w:hAnsi="Times New Roman" w:cs="Times New Roman"/>
          <w:sz w:val="24"/>
          <w:szCs w:val="24"/>
        </w:rPr>
        <w:t xml:space="preserve">, počeo primjenjivati od dana 1. </w:t>
      </w:r>
      <w:r>
        <w:rPr>
          <w:rFonts w:ascii="Times New Roman" w:hAnsi="Times New Roman" w:cs="Times New Roman"/>
          <w:sz w:val="24"/>
          <w:szCs w:val="24"/>
        </w:rPr>
        <w:t xml:space="preserve">srpnja </w:t>
      </w:r>
      <w:r w:rsidRPr="001A2BF4">
        <w:rPr>
          <w:rFonts w:ascii="Times New Roman" w:hAnsi="Times New Roman" w:cs="Times New Roman"/>
          <w:sz w:val="24"/>
          <w:szCs w:val="24"/>
        </w:rPr>
        <w:t>2023. g..</w:t>
      </w:r>
    </w:p>
    <w:p w:rsidR="00DA438A" w:rsidRPr="007535BB" w:rsidRDefault="00DA438A" w:rsidP="00DA438A">
      <w:pPr>
        <w:spacing w:after="0" w:line="240" w:lineRule="auto"/>
        <w:ind w:left="21" w:right="126" w:firstLine="687"/>
        <w:jc w:val="both"/>
      </w:pPr>
    </w:p>
    <w:p w:rsidR="00FA4BB8" w:rsidRDefault="00FA4BB8"/>
    <w:sectPr w:rsidR="00FA4BB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DA3" w:rsidRDefault="00212DA3">
      <w:pPr>
        <w:spacing w:after="0" w:line="240" w:lineRule="auto"/>
      </w:pPr>
      <w:r>
        <w:separator/>
      </w:r>
    </w:p>
  </w:endnote>
  <w:endnote w:type="continuationSeparator" w:id="0">
    <w:p w:rsidR="00212DA3" w:rsidRDefault="00212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3234159"/>
      <w:docPartObj>
        <w:docPartGallery w:val="Page Numbers (Bottom of Page)"/>
        <w:docPartUnique/>
      </w:docPartObj>
    </w:sdtPr>
    <w:sdtEndPr/>
    <w:sdtContent>
      <w:p w:rsidR="002D1CCC" w:rsidRDefault="00DA438A">
        <w:pPr>
          <w:pStyle w:val="Podnoje"/>
        </w:pPr>
        <w:r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23FA727" wp14:editId="4EFC6327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Pravokutni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1CCC" w:rsidRDefault="00DA438A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794260" w:rsidRPr="00794260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Pravokutnik 2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" filled="f" fillcolor="#c0504d" stroked="f" strokecolor="#5c83b4" strokeweight="2.25pt">
                  <v:textbox inset=",0,,0">
                    <w:txbxContent>
                      <w:p w:rsidR="002D1CCC" w:rsidRDefault="00DA438A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794260" w:rsidRPr="00794260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DA3" w:rsidRDefault="00212DA3">
      <w:pPr>
        <w:spacing w:after="0" w:line="240" w:lineRule="auto"/>
      </w:pPr>
      <w:r>
        <w:separator/>
      </w:r>
    </w:p>
  </w:footnote>
  <w:footnote w:type="continuationSeparator" w:id="0">
    <w:p w:rsidR="00212DA3" w:rsidRDefault="00212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CCC" w:rsidRDefault="00DA438A" w:rsidP="002D1CCC">
    <w:pPr>
      <w:pStyle w:val="Standard"/>
      <w:jc w:val="both"/>
      <w:rPr>
        <w:rFonts w:eastAsia="Times New Roman" w:cs="Times New Roman"/>
        <w:kern w:val="0"/>
        <w:lang w:eastAsia="hr-HR" w:bidi="ar-SA"/>
      </w:rPr>
    </w:pPr>
    <w:r w:rsidRPr="00C35653">
      <w:rPr>
        <w:noProof/>
        <w:sz w:val="20"/>
        <w:lang w:eastAsia="hr-HR" w:bidi="ar-SA"/>
      </w:rPr>
      <w:drawing>
        <wp:inline distT="0" distB="0" distL="0" distR="0" wp14:anchorId="5348E66B" wp14:editId="2EBC7A01">
          <wp:extent cx="2682022" cy="504000"/>
          <wp:effectExtent l="0" t="0" r="444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2022" cy="50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D1CCC" w:rsidRPr="00C857CE" w:rsidRDefault="00DA438A" w:rsidP="002D1CCC">
    <w:pPr>
      <w:pStyle w:val="Standard"/>
      <w:jc w:val="both"/>
      <w:rPr>
        <w:rFonts w:eastAsia="Times New Roman" w:cs="Times New Roman"/>
        <w:kern w:val="0"/>
        <w:sz w:val="20"/>
        <w:lang w:eastAsia="hr-HR" w:bidi="ar-SA"/>
      </w:rPr>
    </w:pPr>
    <w:r w:rsidRPr="00C857CE">
      <w:rPr>
        <w:rFonts w:eastAsia="Times New Roman" w:cs="Times New Roman"/>
        <w:kern w:val="0"/>
        <w:sz w:val="20"/>
        <w:lang w:eastAsia="hr-HR" w:bidi="ar-SA"/>
      </w:rPr>
      <w:t>NEVKOŠ d. o. o. za uslužne djelatnosti,  32 100 Vinkovci, Martina Ballinga 5,</w:t>
    </w:r>
  </w:p>
  <w:p w:rsidR="002D1CCC" w:rsidRPr="00C857CE" w:rsidRDefault="00DA438A" w:rsidP="002D1CCC">
    <w:pPr>
      <w:pStyle w:val="Standard"/>
      <w:jc w:val="both"/>
      <w:rPr>
        <w:rFonts w:eastAsia="Times New Roman" w:cs="Times New Roman"/>
        <w:kern w:val="0"/>
        <w:sz w:val="20"/>
        <w:lang w:eastAsia="hr-HR" w:bidi="ar-SA"/>
      </w:rPr>
    </w:pPr>
    <w:r w:rsidRPr="00C857CE">
      <w:rPr>
        <w:rFonts w:eastAsia="Times New Roman" w:cs="Times New Roman"/>
        <w:kern w:val="0"/>
        <w:sz w:val="20"/>
        <w:lang w:eastAsia="hr-HR" w:bidi="ar-SA"/>
      </w:rPr>
      <w:t>telefoni: 032/306-130, 032/306-4</w:t>
    </w:r>
    <w:r>
      <w:rPr>
        <w:rFonts w:eastAsia="Times New Roman" w:cs="Times New Roman"/>
        <w:kern w:val="0"/>
        <w:sz w:val="20"/>
        <w:lang w:eastAsia="hr-HR" w:bidi="ar-SA"/>
      </w:rPr>
      <w:t>39</w:t>
    </w:r>
    <w:r w:rsidRPr="00C857CE">
      <w:rPr>
        <w:rFonts w:eastAsia="Times New Roman" w:cs="Times New Roman"/>
        <w:kern w:val="0"/>
        <w:sz w:val="20"/>
        <w:lang w:eastAsia="hr-HR" w:bidi="ar-SA"/>
      </w:rPr>
      <w:t xml:space="preserve">, e-mail: </w:t>
    </w:r>
    <w:r>
      <w:rPr>
        <w:rFonts w:eastAsia="Times New Roman" w:cs="Times New Roman"/>
        <w:kern w:val="0"/>
        <w:sz w:val="20"/>
        <w:lang w:eastAsia="hr-HR" w:bidi="ar-SA"/>
      </w:rPr>
      <w:t>info@nevkos</w:t>
    </w:r>
    <w:r w:rsidRPr="00C857CE">
      <w:rPr>
        <w:rFonts w:eastAsia="Times New Roman" w:cs="Times New Roman"/>
        <w:kern w:val="0"/>
        <w:sz w:val="20"/>
        <w:lang w:eastAsia="hr-HR" w:bidi="ar-SA"/>
      </w:rPr>
      <w:t>.hr, OIB 76173743169, MB 3665224, IBAN: HR 40 2485003 110028 4924</w:t>
    </w:r>
  </w:p>
  <w:p w:rsidR="002D1CCC" w:rsidRDefault="00212DA3">
    <w:pPr>
      <w:pStyle w:val="Zaglavlje"/>
    </w:pPr>
  </w:p>
  <w:p w:rsidR="002D1CCC" w:rsidRDefault="00212DA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54E25"/>
    <w:multiLevelType w:val="hybridMultilevel"/>
    <w:tmpl w:val="677691C4"/>
    <w:lvl w:ilvl="0" w:tplc="24B0BA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38A"/>
    <w:rsid w:val="00190060"/>
    <w:rsid w:val="00212DA3"/>
    <w:rsid w:val="0043440E"/>
    <w:rsid w:val="00443F18"/>
    <w:rsid w:val="00794260"/>
    <w:rsid w:val="00CA1505"/>
    <w:rsid w:val="00DA438A"/>
    <w:rsid w:val="00FA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3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DA4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A4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A438A"/>
  </w:style>
  <w:style w:type="paragraph" w:styleId="Podnoje">
    <w:name w:val="footer"/>
    <w:basedOn w:val="Normal"/>
    <w:link w:val="PodnojeChar"/>
    <w:uiPriority w:val="99"/>
    <w:unhideWhenUsed/>
    <w:rsid w:val="00DA4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A438A"/>
  </w:style>
  <w:style w:type="paragraph" w:customStyle="1" w:styleId="Standard">
    <w:name w:val="Standard"/>
    <w:rsid w:val="00DA438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customStyle="1" w:styleId="Reetkatablice2">
    <w:name w:val="Rešetka tablice2"/>
    <w:basedOn w:val="Obinatablica"/>
    <w:next w:val="Reetkatablice"/>
    <w:uiPriority w:val="59"/>
    <w:rsid w:val="00DA4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DA4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A438A"/>
    <w:pPr>
      <w:ind w:left="720"/>
      <w:contextualSpacing/>
    </w:pPr>
  </w:style>
  <w:style w:type="table" w:styleId="Reetkatablice">
    <w:name w:val="Table Grid"/>
    <w:basedOn w:val="Obinatablica"/>
    <w:uiPriority w:val="59"/>
    <w:rsid w:val="00DA4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43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3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DA4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A4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A438A"/>
  </w:style>
  <w:style w:type="paragraph" w:styleId="Podnoje">
    <w:name w:val="footer"/>
    <w:basedOn w:val="Normal"/>
    <w:link w:val="PodnojeChar"/>
    <w:uiPriority w:val="99"/>
    <w:unhideWhenUsed/>
    <w:rsid w:val="00DA4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A438A"/>
  </w:style>
  <w:style w:type="paragraph" w:customStyle="1" w:styleId="Standard">
    <w:name w:val="Standard"/>
    <w:rsid w:val="00DA438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customStyle="1" w:styleId="Reetkatablice2">
    <w:name w:val="Rešetka tablice2"/>
    <w:basedOn w:val="Obinatablica"/>
    <w:next w:val="Reetkatablice"/>
    <w:uiPriority w:val="59"/>
    <w:rsid w:val="00DA4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DA4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A438A"/>
    <w:pPr>
      <w:ind w:left="720"/>
      <w:contextualSpacing/>
    </w:pPr>
  </w:style>
  <w:style w:type="table" w:styleId="Reetkatablice">
    <w:name w:val="Table Grid"/>
    <w:basedOn w:val="Obinatablica"/>
    <w:uiPriority w:val="59"/>
    <w:rsid w:val="00DA4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43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Kovačević</dc:creator>
  <cp:lastModifiedBy>Darko Kovačević</cp:lastModifiedBy>
  <cp:revision>4</cp:revision>
  <dcterms:created xsi:type="dcterms:W3CDTF">2023-05-08T10:48:00Z</dcterms:created>
  <dcterms:modified xsi:type="dcterms:W3CDTF">2023-05-17T05:31:00Z</dcterms:modified>
</cp:coreProperties>
</file>